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ind w:firstLine="480"/>
        <w:jc w:val="center"/>
        <w:rPr>
          <w:rFonts w:ascii="方正小标宋简体" w:hAnsi="微软雅黑" w:eastAsia="方正小标宋简体" w:cs="宋体"/>
          <w:bCs/>
          <w:color w:val="000000"/>
          <w:kern w:val="0"/>
          <w:sz w:val="44"/>
          <w:szCs w:val="44"/>
        </w:rPr>
      </w:pPr>
      <w:r>
        <w:rPr>
          <w:rFonts w:hint="eastAsia" w:ascii="方正小标宋简体" w:hAnsi="微软雅黑" w:eastAsia="方正小标宋简体" w:cs="宋体"/>
          <w:bCs/>
          <w:color w:val="000000"/>
          <w:kern w:val="0"/>
          <w:sz w:val="44"/>
          <w:szCs w:val="44"/>
        </w:rPr>
        <w:t>中国民用航空局清算中心</w:t>
      </w:r>
    </w:p>
    <w:p>
      <w:pPr>
        <w:widowControl/>
        <w:spacing w:line="405" w:lineRule="atLeast"/>
        <w:ind w:firstLine="480"/>
        <w:jc w:val="center"/>
        <w:rPr>
          <w:rFonts w:ascii="方正小标宋简体" w:hAnsi="微软雅黑" w:eastAsia="方正小标宋简体" w:cs="宋体"/>
          <w:bCs/>
          <w:color w:val="000000"/>
          <w:kern w:val="0"/>
          <w:sz w:val="44"/>
          <w:szCs w:val="44"/>
        </w:rPr>
      </w:pPr>
      <w:r>
        <w:rPr>
          <w:rFonts w:hint="eastAsia" w:ascii="方正小标宋简体" w:hAnsi="微软雅黑" w:eastAsia="方正小标宋简体" w:cs="宋体"/>
          <w:bCs/>
          <w:color w:val="000000"/>
          <w:kern w:val="0"/>
          <w:sz w:val="44"/>
          <w:szCs w:val="44"/>
        </w:rPr>
        <w:t>简介及岗位信息</w:t>
      </w:r>
    </w:p>
    <w:p>
      <w:pPr>
        <w:widowControl/>
        <w:spacing w:line="405" w:lineRule="atLeast"/>
        <w:jc w:val="left"/>
        <w:rPr>
          <w:rFonts w:ascii="仿宋_GB2312" w:hAnsi="微软雅黑" w:eastAsia="仿宋_GB2312" w:cs="宋体"/>
          <w:bCs/>
          <w:color w:val="000000"/>
          <w:kern w:val="0"/>
          <w:sz w:val="32"/>
          <w:szCs w:val="32"/>
        </w:rPr>
      </w:pP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中国民用航空局清算中心是经中央机构编制委员会办公室批准成立的民航局直属事业单位。作为民航资金综合管理部门，承担着民航行业资金统一清算的重要职责，同时肩负民航政府采购、国库集中支付、电子客票行程单日常管理等职责，为行业内资金高效流转提供坚强保障。因工作需要，根据《事业单位人事管理条例》和《事业单位公开招聘人员暂行规定》，</w:t>
      </w:r>
      <w:r>
        <w:rPr>
          <w:rFonts w:hint="eastAsia" w:ascii="仿宋_GB2312" w:eastAsia="仿宋_GB2312"/>
          <w:sz w:val="32"/>
          <w:szCs w:val="32"/>
        </w:rPr>
        <w:t>拟公开招聘应届毕业生5名，现</w:t>
      </w:r>
      <w:r>
        <w:rPr>
          <w:rFonts w:hint="eastAsia" w:ascii="仿宋_GB2312" w:hAnsi="微软雅黑" w:eastAsia="仿宋_GB2312" w:cs="宋体"/>
          <w:color w:val="000000"/>
          <w:kern w:val="0"/>
          <w:sz w:val="32"/>
          <w:szCs w:val="32"/>
        </w:rPr>
        <w:t>将有关事项公告如下。</w:t>
      </w:r>
    </w:p>
    <w:p>
      <w:pPr>
        <w:widowControl/>
        <w:spacing w:line="405" w:lineRule="atLeast"/>
        <w:ind w:firstLine="640" w:firstLineChars="200"/>
        <w:rPr>
          <w:rFonts w:ascii="黑体" w:hAnsi="黑体" w:eastAsia="黑体" w:cs="宋体"/>
          <w:color w:val="333333"/>
          <w:kern w:val="0"/>
          <w:sz w:val="32"/>
          <w:szCs w:val="32"/>
        </w:rPr>
      </w:pPr>
      <w:r>
        <w:rPr>
          <w:rFonts w:hint="eastAsia" w:ascii="黑体" w:hAnsi="黑体" w:eastAsia="黑体" w:cs="宋体"/>
          <w:bCs/>
          <w:color w:val="000000"/>
          <w:kern w:val="0"/>
          <w:sz w:val="32"/>
          <w:szCs w:val="32"/>
        </w:rPr>
        <w:t>一、报考范围和条件</w:t>
      </w:r>
    </w:p>
    <w:p>
      <w:pPr>
        <w:ind w:firstLine="640" w:firstLineChars="200"/>
        <w:rPr>
          <w:rFonts w:ascii="仿宋_GB2312" w:eastAsia="仿宋_GB2312"/>
          <w:sz w:val="32"/>
          <w:szCs w:val="32"/>
        </w:rPr>
      </w:pPr>
      <w:r>
        <w:rPr>
          <w:rFonts w:hint="eastAsia" w:ascii="仿宋_GB2312" w:eastAsia="仿宋_GB2312"/>
          <w:sz w:val="32"/>
          <w:szCs w:val="32"/>
        </w:rPr>
        <w:t>本次招聘面向202</w:t>
      </w:r>
      <w:r>
        <w:rPr>
          <w:rFonts w:ascii="仿宋_GB2312" w:eastAsia="仿宋_GB2312"/>
          <w:sz w:val="32"/>
          <w:szCs w:val="32"/>
        </w:rPr>
        <w:t>6</w:t>
      </w:r>
      <w:r>
        <w:rPr>
          <w:rFonts w:hint="eastAsia" w:ascii="仿宋_GB2312" w:eastAsia="仿宋_GB2312"/>
          <w:sz w:val="32"/>
          <w:szCs w:val="32"/>
        </w:rPr>
        <w:t>年国内高校应届毕业生（含两年择业期内未落实工作单位的高校毕业生，不含各类委培生、定向生，不含在校期间或两年择业期内有社保缴存记录的毕业生）。因在京单位落户指标及相关政策要求，本次京外生源岗位不招聘留学回国人员。报考人员在校期间所修课程全部合格，毕业时须取得与最高学历对应的学历学位证书，岗位要求专业条件为报考者即将获得的最高学历学位对应专业。</w:t>
      </w:r>
    </w:p>
    <w:p>
      <w:pPr>
        <w:widowControl/>
        <w:spacing w:line="405" w:lineRule="atLeas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二、招聘岗位及具体要求</w:t>
      </w:r>
    </w:p>
    <w:p>
      <w:pPr>
        <w:widowControl/>
        <w:spacing w:line="405" w:lineRule="atLeast"/>
        <w:ind w:firstLine="640" w:firstLineChars="200"/>
        <w:rPr>
          <w:rFonts w:ascii="黑体" w:hAnsi="黑体" w:eastAsia="黑体" w:cs="宋体"/>
          <w:bCs/>
          <w:color w:val="000000"/>
          <w:kern w:val="0"/>
          <w:sz w:val="32"/>
          <w:szCs w:val="32"/>
        </w:rPr>
      </w:pPr>
    </w:p>
    <w:tbl>
      <w:tblPr>
        <w:tblStyle w:val="7"/>
        <w:tblW w:w="6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4"/>
        <w:gridCol w:w="1310"/>
        <w:gridCol w:w="1601"/>
        <w:gridCol w:w="2038"/>
        <w:gridCol w:w="2760"/>
        <w:gridCol w:w="514"/>
        <w:gridCol w:w="514"/>
        <w:gridCol w:w="41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bookmarkStart w:id="0" w:name="OLE_LINK1"/>
            <w:bookmarkStart w:id="1" w:name="OLE_LINK2"/>
            <w:r>
              <w:rPr>
                <w:rFonts w:hint="eastAsia" w:ascii="仿宋_GB2312" w:hAnsi="黑体" w:eastAsia="仿宋_GB2312" w:cs="宋体"/>
                <w:b/>
                <w:color w:val="000000"/>
                <w:kern w:val="0"/>
                <w:sz w:val="28"/>
                <w:szCs w:val="28"/>
              </w:rPr>
              <w:t>序号</w:t>
            </w:r>
          </w:p>
        </w:tc>
        <w:tc>
          <w:tcPr>
            <w:tcW w:w="584" w:type="pct"/>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岗位类别与等级</w:t>
            </w:r>
          </w:p>
        </w:tc>
        <w:tc>
          <w:tcPr>
            <w:tcW w:w="714"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岗位名称</w:t>
            </w:r>
          </w:p>
        </w:tc>
        <w:tc>
          <w:tcPr>
            <w:tcW w:w="909"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岗位职责</w:t>
            </w:r>
          </w:p>
        </w:tc>
        <w:tc>
          <w:tcPr>
            <w:tcW w:w="1231"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专业要求</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学历</w:t>
            </w:r>
          </w:p>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要求</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需求人数</w:t>
            </w:r>
          </w:p>
        </w:tc>
        <w:tc>
          <w:tcPr>
            <w:tcW w:w="183" w:type="pct"/>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生源地</w:t>
            </w:r>
          </w:p>
        </w:tc>
        <w:tc>
          <w:tcPr>
            <w:tcW w:w="598" w:type="pct"/>
            <w:tcMar>
              <w:top w:w="0" w:type="dxa"/>
              <w:left w:w="108" w:type="dxa"/>
              <w:bottom w:w="0" w:type="dxa"/>
              <w:right w:w="108" w:type="dxa"/>
            </w:tcMar>
            <w:vAlign w:val="center"/>
          </w:tcPr>
          <w:p>
            <w:pPr>
              <w:widowControl/>
              <w:jc w:val="center"/>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0"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584"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专业技术初级</w:t>
            </w:r>
          </w:p>
        </w:tc>
        <w:tc>
          <w:tcPr>
            <w:tcW w:w="714"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综合研究</w:t>
            </w:r>
          </w:p>
        </w:tc>
        <w:tc>
          <w:tcPr>
            <w:tcW w:w="909"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eastAsia="仿宋_GB2312"/>
                <w:bCs/>
                <w:sz w:val="24"/>
                <w:szCs w:val="24"/>
              </w:rPr>
              <w:t>负责中心规划与政策研究、决策支持、科研项目管理、质量监控与合规性管理、文稿撰写、公文管理等工作。</w:t>
            </w:r>
          </w:p>
        </w:tc>
        <w:tc>
          <w:tcPr>
            <w:tcW w:w="1231" w:type="pct"/>
            <w:shd w:val="clear" w:color="auto" w:fill="auto"/>
            <w:tcMar>
              <w:top w:w="0" w:type="dxa"/>
              <w:left w:w="108" w:type="dxa"/>
              <w:bottom w:w="0" w:type="dxa"/>
              <w:right w:w="108" w:type="dxa"/>
            </w:tcMar>
            <w:vAlign w:val="center"/>
          </w:tcPr>
          <w:p>
            <w:pPr>
              <w:widowControl/>
              <w:wordWrap w:val="0"/>
              <w:jc w:val="left"/>
              <w:rPr>
                <w:rFonts w:ascii="仿宋_GB2312" w:hAnsi="黑体" w:eastAsia="仿宋_GB2312" w:cs="宋体"/>
                <w:kern w:val="0"/>
                <w:sz w:val="24"/>
                <w:szCs w:val="24"/>
              </w:rPr>
            </w:pPr>
            <w:r>
              <w:rPr>
                <w:rFonts w:hint="eastAsia" w:ascii="仿宋_GB2312" w:eastAsia="仿宋_GB2312"/>
                <w:sz w:val="24"/>
                <w:szCs w:val="24"/>
              </w:rPr>
              <w:t>应用经济学(0202),金融(0251),法学(0301),中国语言文学(0501),</w:t>
            </w:r>
            <w:r>
              <w:rPr>
                <w:rFonts w:hint="eastAsia" w:ascii="仿宋_GB2312" w:eastAsia="仿宋_GB2312"/>
                <w:bCs/>
                <w:sz w:val="24"/>
                <w:szCs w:val="24"/>
              </w:rPr>
              <w:t>交通运输工程(0823),交通运输(0861)</w:t>
            </w:r>
            <w:r>
              <w:rPr>
                <w:rFonts w:hint="eastAsia" w:ascii="仿宋_GB2312" w:eastAsia="仿宋_GB2312"/>
                <w:sz w:val="24"/>
                <w:szCs w:val="24"/>
              </w:rPr>
              <w:t>,工商管理学(1202),</w:t>
            </w:r>
            <w:r>
              <w:rPr>
                <w:rFonts w:hint="eastAsia" w:ascii="仿宋_GB2312" w:eastAsia="仿宋_GB2312"/>
                <w:bCs/>
                <w:sz w:val="24"/>
                <w:szCs w:val="24"/>
              </w:rPr>
              <w:t>工商管理(1251)</w:t>
            </w:r>
          </w:p>
        </w:tc>
        <w:tc>
          <w:tcPr>
            <w:tcW w:w="229"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硕士研究生</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183"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京外生源</w:t>
            </w:r>
          </w:p>
        </w:tc>
        <w:tc>
          <w:tcPr>
            <w:tcW w:w="598" w:type="pct"/>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通过四级或六级大学英语考试（成绩不低于425分）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4"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2</w:t>
            </w:r>
          </w:p>
        </w:tc>
        <w:tc>
          <w:tcPr>
            <w:tcW w:w="584"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专业技术十级及以下</w:t>
            </w:r>
          </w:p>
        </w:tc>
        <w:tc>
          <w:tcPr>
            <w:tcW w:w="714"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运维管理</w:t>
            </w:r>
          </w:p>
        </w:tc>
        <w:tc>
          <w:tcPr>
            <w:tcW w:w="909"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eastAsia="仿宋_GB2312"/>
                <w:bCs/>
                <w:sz w:val="24"/>
                <w:szCs w:val="24"/>
              </w:rPr>
              <w:t>负责IT基础设施运行、内设部门信息系统支撑，统筹中心云资源规划、调度与保障，参与运维管理规章制定等工作。</w:t>
            </w:r>
          </w:p>
        </w:tc>
        <w:tc>
          <w:tcPr>
            <w:tcW w:w="1231" w:type="pct"/>
            <w:shd w:val="clear" w:color="auto" w:fill="auto"/>
            <w:tcMar>
              <w:top w:w="0" w:type="dxa"/>
              <w:left w:w="108" w:type="dxa"/>
              <w:bottom w:w="0" w:type="dxa"/>
              <w:right w:w="108" w:type="dxa"/>
            </w:tcMar>
            <w:vAlign w:val="center"/>
          </w:tcPr>
          <w:p>
            <w:pPr>
              <w:wordWrap w:val="0"/>
              <w:jc w:val="left"/>
              <w:rPr>
                <w:rFonts w:ascii="仿宋_GB2312" w:eastAsia="仿宋_GB2312"/>
                <w:bCs/>
                <w:sz w:val="24"/>
                <w:szCs w:val="24"/>
              </w:rPr>
            </w:pPr>
            <w:r>
              <w:rPr>
                <w:rFonts w:hint="eastAsia" w:ascii="仿宋_GB2312" w:eastAsia="仿宋_GB2312"/>
                <w:sz w:val="24"/>
                <w:szCs w:val="24"/>
              </w:rPr>
              <w:t>本科：计算机科学与技术(080901),软件工程(80902),网络工程(080903),电子与计算机工程(080909T),数据科学与大数据技术(080910T),信息管理与信息系统(120102 ),</w:t>
            </w:r>
            <w:r>
              <w:rPr>
                <w:rFonts w:hint="eastAsia" w:ascii="仿宋_GB2312" w:eastAsia="仿宋_GB2312"/>
                <w:bCs/>
                <w:sz w:val="24"/>
                <w:szCs w:val="24"/>
              </w:rPr>
              <w:t>大数据管理与应用(120108T)</w:t>
            </w:r>
          </w:p>
          <w:p>
            <w:pPr>
              <w:wordWrap w:val="0"/>
              <w:jc w:val="left"/>
              <w:rPr>
                <w:rFonts w:ascii="仿宋_GB2312" w:hAnsi="黑体" w:eastAsia="仿宋_GB2312" w:cs="宋体"/>
                <w:kern w:val="0"/>
                <w:sz w:val="24"/>
                <w:szCs w:val="24"/>
              </w:rPr>
            </w:pPr>
            <w:r>
              <w:rPr>
                <w:rFonts w:hint="eastAsia" w:ascii="仿宋_GB2312" w:eastAsia="仿宋_GB2312"/>
                <w:sz w:val="24"/>
                <w:szCs w:val="24"/>
              </w:rPr>
              <w:t>研究生：信息与通信工程(0810),控制科学与工程(0811),计算机科学与技术(0812),软件工程(0835),电子信息(0854),管理科学与工程(1201)</w:t>
            </w:r>
          </w:p>
        </w:tc>
        <w:tc>
          <w:tcPr>
            <w:tcW w:w="229"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本科及以上</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183"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京外生源</w:t>
            </w:r>
          </w:p>
        </w:tc>
        <w:tc>
          <w:tcPr>
            <w:tcW w:w="598" w:type="pct"/>
            <w:tcMar>
              <w:top w:w="0" w:type="dxa"/>
              <w:left w:w="108" w:type="dxa"/>
              <w:bottom w:w="0" w:type="dxa"/>
              <w:right w:w="108" w:type="dxa"/>
            </w:tcMar>
            <w:vAlign w:val="center"/>
          </w:tcPr>
          <w:p>
            <w:pPr>
              <w:widowControl/>
              <w:jc w:val="left"/>
              <w:rPr>
                <w:rFonts w:hint="eastAsia" w:ascii="仿宋_GB2312" w:hAnsi="黑体" w:eastAsia="仿宋_GB2312" w:cs="宋体"/>
                <w:kern w:val="0"/>
                <w:sz w:val="24"/>
                <w:szCs w:val="24"/>
              </w:rPr>
            </w:pPr>
            <w:r>
              <w:rPr>
                <w:rFonts w:hint="eastAsia" w:ascii="仿宋_GB2312" w:hAnsi="黑体" w:eastAsia="仿宋_GB2312" w:cs="宋体"/>
                <w:kern w:val="0"/>
                <w:sz w:val="24"/>
                <w:szCs w:val="24"/>
              </w:rPr>
              <w:t>通过四级或六级大学英语考试（成绩不低于425分）</w:t>
            </w:r>
          </w:p>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聘在专业技术十级岗的应具有博士学历学位。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3</w:t>
            </w:r>
          </w:p>
        </w:tc>
        <w:tc>
          <w:tcPr>
            <w:tcW w:w="584"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专业技术十级及以下</w:t>
            </w:r>
          </w:p>
        </w:tc>
        <w:tc>
          <w:tcPr>
            <w:tcW w:w="714"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网络安全</w:t>
            </w:r>
          </w:p>
        </w:tc>
        <w:tc>
          <w:tcPr>
            <w:tcW w:w="909"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eastAsia="仿宋_GB2312"/>
                <w:bCs/>
                <w:sz w:val="24"/>
                <w:szCs w:val="24"/>
              </w:rPr>
              <w:t>负责网络安全策略监督检查、日常监控、评估与加固，网络安全相关设备与系统的更新运维，重保方案执行等工作。</w:t>
            </w:r>
          </w:p>
        </w:tc>
        <w:tc>
          <w:tcPr>
            <w:tcW w:w="1231" w:type="pct"/>
            <w:shd w:val="clear" w:color="auto" w:fill="auto"/>
            <w:tcMar>
              <w:top w:w="0" w:type="dxa"/>
              <w:left w:w="108" w:type="dxa"/>
              <w:bottom w:w="0" w:type="dxa"/>
              <w:right w:w="108" w:type="dxa"/>
            </w:tcMar>
            <w:vAlign w:val="center"/>
          </w:tcPr>
          <w:p>
            <w:pPr>
              <w:wordWrap w:val="0"/>
              <w:jc w:val="left"/>
              <w:rPr>
                <w:rFonts w:ascii="仿宋_GB2312" w:hAnsi="黑体" w:eastAsia="仿宋_GB2312" w:cs="宋体"/>
                <w:kern w:val="0"/>
                <w:sz w:val="24"/>
                <w:szCs w:val="24"/>
              </w:rPr>
            </w:pPr>
            <w:r>
              <w:rPr>
                <w:rFonts w:hint="eastAsia" w:ascii="仿宋_GB2312" w:eastAsia="仿宋_GB2312"/>
                <w:sz w:val="24"/>
                <w:szCs w:val="24"/>
              </w:rPr>
              <w:t>本科：计算机科学与技术(080901)，软件工程(080902)，网络工程(080903)，信息安全(080904K)，</w:t>
            </w:r>
            <w:r>
              <w:rPr>
                <w:rFonts w:hint="eastAsia" w:ascii="仿宋_GB2312" w:eastAsia="仿宋_GB2312"/>
                <w:bCs/>
                <w:sz w:val="24"/>
                <w:szCs w:val="24"/>
              </w:rPr>
              <w:t>电子与计算机工程(080909T),数据科学与大数据技术(080910T)</w:t>
            </w:r>
            <w:r>
              <w:rPr>
                <w:rFonts w:hint="eastAsia" w:ascii="仿宋_GB2312" w:eastAsia="仿宋_GB2312"/>
                <w:sz w:val="24"/>
                <w:szCs w:val="24"/>
              </w:rPr>
              <w:t>,网络空间安全(080911TK)，保密技术(080914TK)，密码科学与技术(080918TK),</w:t>
            </w:r>
            <w:r>
              <w:rPr>
                <w:rFonts w:hint="eastAsia" w:ascii="仿宋_GB2312" w:eastAsia="仿宋_GB2312"/>
                <w:bCs/>
                <w:sz w:val="24"/>
                <w:szCs w:val="24"/>
              </w:rPr>
              <w:t>信息管理与信息系统(120102),保密管理(120106TK),大数据管理与应用(120108T)</w:t>
            </w:r>
            <w:r>
              <w:rPr>
                <w:rFonts w:hint="eastAsia" w:ascii="仿宋_GB2312" w:eastAsia="仿宋_GB2312"/>
                <w:sz w:val="24"/>
                <w:szCs w:val="24"/>
              </w:rPr>
              <w:br w:type="textWrapping"/>
            </w:r>
            <w:r>
              <w:rPr>
                <w:rFonts w:hint="eastAsia" w:ascii="仿宋_GB2312" w:eastAsia="仿宋_GB2312"/>
                <w:sz w:val="24"/>
                <w:szCs w:val="24"/>
              </w:rPr>
              <w:t>研究生：信息与通信工程(0810),控制科学与工程(0811),计算机科学与技术(0812),软件工程(0835),网络空间安全(0839),电子信息(0854),管理科学与工程(1201)</w:t>
            </w:r>
          </w:p>
        </w:tc>
        <w:tc>
          <w:tcPr>
            <w:tcW w:w="229"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本科及以上</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183"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京外生源</w:t>
            </w:r>
          </w:p>
        </w:tc>
        <w:tc>
          <w:tcPr>
            <w:tcW w:w="598" w:type="pct"/>
            <w:tcMar>
              <w:top w:w="0" w:type="dxa"/>
              <w:left w:w="108" w:type="dxa"/>
              <w:bottom w:w="0" w:type="dxa"/>
              <w:right w:w="108" w:type="dxa"/>
            </w:tcMar>
            <w:vAlign w:val="center"/>
          </w:tcPr>
          <w:p>
            <w:pPr>
              <w:widowControl/>
              <w:jc w:val="left"/>
              <w:rPr>
                <w:rFonts w:hint="eastAsia" w:ascii="仿宋_GB2312" w:hAnsi="黑体" w:eastAsia="仿宋_GB2312" w:cs="宋体"/>
                <w:kern w:val="0"/>
                <w:sz w:val="24"/>
                <w:szCs w:val="24"/>
              </w:rPr>
            </w:pPr>
            <w:r>
              <w:rPr>
                <w:rFonts w:hint="eastAsia" w:ascii="仿宋_GB2312" w:hAnsi="黑体" w:eastAsia="仿宋_GB2312" w:cs="宋体"/>
                <w:kern w:val="0"/>
                <w:sz w:val="24"/>
                <w:szCs w:val="24"/>
              </w:rPr>
              <w:t>通过四级或六级大学英语考试（成绩不低于425分）</w:t>
            </w:r>
          </w:p>
          <w:p>
            <w:pPr>
              <w:widowControl/>
              <w:jc w:val="left"/>
              <w:rPr>
                <w:rFonts w:hint="eastAsia" w:ascii="仿宋_GB2312" w:hAnsi="黑体" w:eastAsia="仿宋_GB2312" w:cs="宋体"/>
                <w:kern w:val="0"/>
                <w:sz w:val="24"/>
                <w:szCs w:val="24"/>
              </w:rPr>
            </w:pPr>
          </w:p>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聘在专业技术十级岗的应具有博士学历学位。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4</w:t>
            </w:r>
          </w:p>
        </w:tc>
        <w:tc>
          <w:tcPr>
            <w:tcW w:w="584"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专业技术初级</w:t>
            </w:r>
          </w:p>
        </w:tc>
        <w:tc>
          <w:tcPr>
            <w:tcW w:w="714"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机场业务</w:t>
            </w:r>
          </w:p>
        </w:tc>
        <w:tc>
          <w:tcPr>
            <w:tcW w:w="909"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eastAsia="仿宋_GB2312"/>
                <w:sz w:val="24"/>
                <w:szCs w:val="24"/>
              </w:rPr>
              <w:t>负责民航基金、机场服务费、飞行校验费及航延行赔等资金的清算审核与跟踪；参与中小机场补贴相关工作。</w:t>
            </w:r>
          </w:p>
        </w:tc>
        <w:tc>
          <w:tcPr>
            <w:tcW w:w="1231" w:type="pct"/>
            <w:shd w:val="clear" w:color="auto" w:fill="auto"/>
            <w:tcMar>
              <w:top w:w="0" w:type="dxa"/>
              <w:left w:w="108" w:type="dxa"/>
              <w:bottom w:w="0" w:type="dxa"/>
              <w:right w:w="108" w:type="dxa"/>
            </w:tcMar>
            <w:vAlign w:val="center"/>
          </w:tcPr>
          <w:p>
            <w:pPr>
              <w:wordWrap w:val="0"/>
              <w:jc w:val="left"/>
              <w:rPr>
                <w:rFonts w:ascii="仿宋_GB2312" w:hAnsi="黑体" w:eastAsia="仿宋_GB2312" w:cs="宋体"/>
                <w:kern w:val="0"/>
                <w:sz w:val="24"/>
                <w:szCs w:val="24"/>
              </w:rPr>
            </w:pPr>
            <w:r>
              <w:rPr>
                <w:rFonts w:hint="eastAsia" w:ascii="仿宋_GB2312" w:eastAsia="仿宋_GB2312"/>
                <w:sz w:val="24"/>
                <w:szCs w:val="24"/>
              </w:rPr>
              <w:t>应用经济学(0202),金融(0251),统计学(0714),</w:t>
            </w:r>
            <w:r>
              <w:rPr>
                <w:rFonts w:hint="eastAsia" w:ascii="仿宋_GB2312" w:eastAsia="仿宋_GB2312"/>
                <w:bCs/>
                <w:sz w:val="24"/>
                <w:szCs w:val="24"/>
              </w:rPr>
              <w:t>交通运输工程(0823),交通运输(0861),航空运输大数据工程(0837J2)</w:t>
            </w:r>
            <w:r>
              <w:rPr>
                <w:rFonts w:hint="eastAsia" w:ascii="仿宋_GB2312" w:eastAsia="仿宋_GB2312"/>
                <w:sz w:val="24"/>
                <w:szCs w:val="24"/>
              </w:rPr>
              <w:t>,工商管理学(1202),工商管理(1251),会计(1253)</w:t>
            </w:r>
          </w:p>
        </w:tc>
        <w:tc>
          <w:tcPr>
            <w:tcW w:w="229"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eastAsia="仿宋_GB2312"/>
                <w:sz w:val="24"/>
                <w:szCs w:val="24"/>
              </w:rPr>
              <w:t>硕士研究生</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183"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京外生源</w:t>
            </w:r>
          </w:p>
        </w:tc>
        <w:tc>
          <w:tcPr>
            <w:tcW w:w="598" w:type="pct"/>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通过四级或六级大学英语考试（成绩不低于425分）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323"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5</w:t>
            </w:r>
          </w:p>
        </w:tc>
        <w:tc>
          <w:tcPr>
            <w:tcW w:w="584"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专业技术初级</w:t>
            </w:r>
          </w:p>
        </w:tc>
        <w:tc>
          <w:tcPr>
            <w:tcW w:w="714"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民航运输促进综合业务</w:t>
            </w:r>
          </w:p>
        </w:tc>
        <w:tc>
          <w:tcPr>
            <w:tcW w:w="909"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负责签转平台等信息系统建设优化、业务推广、服务协议管理等各项工作。</w:t>
            </w:r>
          </w:p>
        </w:tc>
        <w:tc>
          <w:tcPr>
            <w:tcW w:w="1231" w:type="pct"/>
            <w:shd w:val="clear" w:color="auto" w:fill="auto"/>
            <w:tcMar>
              <w:top w:w="0" w:type="dxa"/>
              <w:left w:w="108" w:type="dxa"/>
              <w:bottom w:w="0" w:type="dxa"/>
              <w:right w:w="108" w:type="dxa"/>
            </w:tcMar>
            <w:vAlign w:val="center"/>
          </w:tcPr>
          <w:p>
            <w:pPr>
              <w:widowControl/>
              <w:jc w:val="left"/>
              <w:rPr>
                <w:rFonts w:ascii="仿宋_GB2312" w:hAnsi="黑体" w:eastAsia="仿宋_GB2312" w:cs="宋体"/>
                <w:kern w:val="0"/>
                <w:sz w:val="24"/>
                <w:szCs w:val="24"/>
              </w:rPr>
            </w:pPr>
            <w:r>
              <w:rPr>
                <w:rFonts w:hint="eastAsia" w:ascii="仿宋_GB2312" w:hAnsi="黑体" w:eastAsia="仿宋_GB2312" w:cs="宋体"/>
                <w:kern w:val="0"/>
                <w:sz w:val="24"/>
                <w:szCs w:val="24"/>
              </w:rPr>
              <w:t>应用经济学(0202),金融(0251),统计学(0714),交通运输工程(0823),交通运输(0861),航空运输大数据工程(0837J2),管理科学与工程(1201),工商管理学(1202),工商管理(1251)</w:t>
            </w:r>
          </w:p>
        </w:tc>
        <w:tc>
          <w:tcPr>
            <w:tcW w:w="229" w:type="pct"/>
            <w:shd w:val="clear" w:color="auto" w:fill="auto"/>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硕士研究生</w:t>
            </w:r>
          </w:p>
        </w:tc>
        <w:tc>
          <w:tcPr>
            <w:tcW w:w="229"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183" w:type="pct"/>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京外生源</w:t>
            </w:r>
          </w:p>
        </w:tc>
        <w:tc>
          <w:tcPr>
            <w:tcW w:w="598" w:type="pct"/>
            <w:tcMar>
              <w:top w:w="0" w:type="dxa"/>
              <w:left w:w="108" w:type="dxa"/>
              <w:bottom w:w="0" w:type="dxa"/>
              <w:right w:w="108" w:type="dxa"/>
            </w:tcMar>
            <w:vAlign w:val="center"/>
          </w:tcPr>
          <w:p>
            <w:pPr>
              <w:widowControl/>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通过四级或六级大学英语考试（成绩不低于425分）</w:t>
            </w:r>
          </w:p>
        </w:tc>
      </w:tr>
      <w:bookmarkEnd w:id="0"/>
      <w:bookmarkEnd w:id="1"/>
    </w:tbl>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上述专业要求参照教育部公布的《普通高等学校本科专业目录（202</w:t>
      </w:r>
      <w:r>
        <w:rPr>
          <w:rFonts w:ascii="仿宋_GB2312" w:hAnsi="微软雅黑" w:eastAsia="仿宋_GB2312" w:cs="宋体"/>
          <w:color w:val="000000"/>
          <w:kern w:val="0"/>
          <w:sz w:val="32"/>
          <w:szCs w:val="32"/>
        </w:rPr>
        <w:t>5</w:t>
      </w:r>
      <w:r>
        <w:rPr>
          <w:rFonts w:hint="eastAsia" w:ascii="仿宋_GB2312" w:hAnsi="微软雅黑" w:eastAsia="仿宋_GB2312" w:cs="宋体"/>
          <w:color w:val="000000"/>
          <w:kern w:val="0"/>
          <w:sz w:val="32"/>
          <w:szCs w:val="32"/>
        </w:rPr>
        <w:t>年4月整理）》、《研究生教育学科专业目录（2022年9月）》；对于所学专业相近，但不在上述参考专业目录中的，应聘人员可与招聘单位联系确认报名资格。</w:t>
      </w:r>
    </w:p>
    <w:p>
      <w:pPr>
        <w:widowControl/>
        <w:spacing w:line="405" w:lineRule="atLeas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三、招聘程序</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（一）信息公告</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通过中央和国家机关所属事业单位公开招聘服务平台、民航局清算中心官网、民航人才网、智联招聘平台发布招聘公告。</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（二）报名</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1.报名方式：自即日起，报考人员可登录</w:t>
      </w:r>
      <w:r>
        <w:rPr>
          <w:rStyle w:val="9"/>
          <w:rFonts w:ascii="仿宋_GB2312" w:hAnsi="微软雅黑" w:eastAsia="仿宋_GB2312" w:cs="宋体"/>
          <w:kern w:val="0"/>
          <w:sz w:val="32"/>
          <w:szCs w:val="32"/>
        </w:rPr>
        <w:t>https://caacscxz2026.zhaopin.com/</w:t>
      </w:r>
      <w:r>
        <w:rPr>
          <w:rFonts w:ascii="仿宋_GB2312" w:hAnsi="微软雅黑" w:eastAsia="仿宋_GB2312" w:cs="宋体"/>
          <w:color w:val="000000"/>
          <w:kern w:val="0"/>
          <w:sz w:val="32"/>
          <w:szCs w:val="32"/>
        </w:rPr>
        <w:t>报名，报名时间为公告发布之日起4</w:t>
      </w:r>
      <w:r>
        <w:rPr>
          <w:rFonts w:hint="eastAsia" w:ascii="仿宋_GB2312" w:hAnsi="微软雅黑" w:eastAsia="仿宋_GB2312" w:cs="宋体"/>
          <w:color w:val="000000"/>
          <w:kern w:val="0"/>
          <w:sz w:val="32"/>
          <w:szCs w:val="32"/>
        </w:rPr>
        <w:t>周内。</w:t>
      </w:r>
    </w:p>
    <w:p>
      <w:pPr>
        <w:widowControl/>
        <w:spacing w:line="405" w:lineRule="atLeas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.报名材料应当真实、准确。报考人员提供虚假材料的，一经查实，立即取消报考资格。</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（三）资格审查</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根据岗位要求对报考人员进行资格审查，确定笔试人选。岗位通过资格初审人数与岗位计划招聘数比例少于</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：1的，由中心领导班子集体研究决定是否按照实际通过资格审查的人数组织后续考试。资格初审通过人员将通过电话、邮件等方式通知，不符合条件人员不再另行通知。</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（四）考试</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考试包括笔试和面试，满分均为100分，合格分数线均为60分。根据笔试成绩，按照从高分到低分的顺序，确定</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倍人选参加面试，末位成绩相同的，一并进入面试；如有考生放弃，按照该岗位笔试成绩由高到低的顺序依次递补。实际参加笔试人数与岗位计划招聘数不足</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:1</w:t>
      </w:r>
      <w:bookmarkStart w:id="2" w:name="_GoBack"/>
      <w:bookmarkEnd w:id="2"/>
      <w:r>
        <w:rPr>
          <w:rFonts w:hint="eastAsia" w:ascii="仿宋_GB2312" w:hAnsi="微软雅黑" w:eastAsia="仿宋_GB2312" w:cs="宋体"/>
          <w:color w:val="000000"/>
          <w:kern w:val="0"/>
          <w:sz w:val="32"/>
          <w:szCs w:val="32"/>
        </w:rPr>
        <w:t>的，以实际达到笔试合格线的人数为准。笔试、面试具体时间、地点将通过电话、邮件等方式通知，未进入笔、面试人员不再另行通知。</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（五）考察及体检</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面试结束后，根据综合成绩（笔试占40%、面试占60%）从高到低的顺序按照1</w:t>
      </w:r>
      <w:r>
        <w:rPr>
          <w:rFonts w:hint="eastAsia" w:ascii="微软雅黑" w:hAnsi="微软雅黑" w:eastAsia="微软雅黑" w:cs="微软雅黑"/>
          <w:color w:val="000000"/>
          <w:kern w:val="0"/>
          <w:sz w:val="32"/>
          <w:szCs w:val="32"/>
        </w:rPr>
        <w:t>︰</w:t>
      </w:r>
      <w:r>
        <w:rPr>
          <w:rFonts w:hint="eastAsia" w:ascii="仿宋_GB2312" w:hAnsi="微软雅黑" w:eastAsia="仿宋_GB2312" w:cs="宋体"/>
          <w:color w:val="000000"/>
          <w:kern w:val="0"/>
          <w:sz w:val="32"/>
          <w:szCs w:val="32"/>
        </w:rPr>
        <w:t>2的比例确定考察及体检人选，未进入考察及体检环节的人员不再另行通知。</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w:t>
      </w:r>
      <w:r>
        <w:rPr>
          <w:rFonts w:ascii="仿宋_GB2312" w:hAnsi="微软雅黑" w:eastAsia="仿宋_GB2312" w:cs="宋体"/>
          <w:color w:val="000000"/>
          <w:kern w:val="0"/>
          <w:sz w:val="32"/>
          <w:szCs w:val="32"/>
        </w:rPr>
        <w:t>.考察。</w:t>
      </w:r>
      <w:r>
        <w:rPr>
          <w:rFonts w:hint="eastAsia" w:ascii="仿宋_GB2312" w:hAnsi="微软雅黑" w:eastAsia="仿宋_GB2312" w:cs="宋体"/>
          <w:color w:val="000000"/>
          <w:kern w:val="0"/>
          <w:sz w:val="32"/>
          <w:szCs w:val="32"/>
        </w:rPr>
        <w:t>考察包括业务考察、政治考察。</w:t>
      </w:r>
      <w:r>
        <w:rPr>
          <w:rFonts w:ascii="仿宋_GB2312" w:hAnsi="微软雅黑" w:eastAsia="仿宋_GB2312" w:cs="宋体"/>
          <w:color w:val="000000"/>
          <w:kern w:val="0"/>
          <w:sz w:val="32"/>
          <w:szCs w:val="32"/>
        </w:rPr>
        <w:t>业务</w:t>
      </w:r>
      <w:r>
        <w:rPr>
          <w:rFonts w:hint="eastAsia" w:ascii="仿宋_GB2312" w:hAnsi="微软雅黑" w:eastAsia="仿宋_GB2312" w:cs="宋体"/>
          <w:color w:val="000000"/>
          <w:kern w:val="0"/>
          <w:sz w:val="32"/>
          <w:szCs w:val="32"/>
        </w:rPr>
        <w:t>考察时长一般为2周，主要考察人选业务能力、工作实绩、岗位匹配度等情况。政治考察一般采取实地走访、个别谈话、审核人事档案（学籍档案）、查询社会信用记录、同本人面谈等方法，了解考察人选政治素质、道德品质、能力素质、心理素质、学习和工作表现、遵纪守法、廉洁自律情况，以及是否具有应当回避的情形，身心健康状况，与招聘岗位的匹配度等情况。</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w:t>
      </w:r>
      <w:r>
        <w:rPr>
          <w:rFonts w:ascii="仿宋_GB2312" w:hAnsi="微软雅黑" w:eastAsia="仿宋_GB2312" w:cs="宋体"/>
          <w:color w:val="000000"/>
          <w:kern w:val="0"/>
          <w:sz w:val="32"/>
          <w:szCs w:val="32"/>
        </w:rPr>
        <w:t>.体检。</w:t>
      </w:r>
      <w:r>
        <w:rPr>
          <w:rFonts w:hint="eastAsia" w:ascii="仿宋_GB2312" w:hAnsi="微软雅黑" w:eastAsia="仿宋_GB2312" w:cs="宋体"/>
          <w:color w:val="000000"/>
          <w:kern w:val="0"/>
          <w:sz w:val="32"/>
          <w:szCs w:val="32"/>
        </w:rPr>
        <w:t>体检在中心指定机构进行体检，体检标准参照国家公务员录用体检通用标准执行。</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拟聘人员体检、考察不合格或自愿放弃应聘的，将视情况研究决定是否递补或取消相关岗位招聘计划。</w:t>
      </w:r>
    </w:p>
    <w:p>
      <w:pPr>
        <w:widowControl/>
        <w:spacing w:line="405" w:lineRule="atLeast"/>
        <w:ind w:firstLine="642" w:firstLineChars="200"/>
        <w:rPr>
          <w:rFonts w:ascii="楷体_GB2312" w:hAnsi="微软雅黑" w:eastAsia="楷体_GB2312" w:cs="宋体"/>
          <w:b/>
          <w:color w:val="000000"/>
          <w:kern w:val="0"/>
          <w:sz w:val="32"/>
          <w:szCs w:val="32"/>
        </w:rPr>
      </w:pPr>
      <w:r>
        <w:rPr>
          <w:rFonts w:hint="eastAsia" w:ascii="楷体_GB2312" w:hAnsi="微软雅黑" w:eastAsia="楷体_GB2312" w:cs="宋体"/>
          <w:b/>
          <w:color w:val="000000"/>
          <w:kern w:val="0"/>
          <w:sz w:val="32"/>
          <w:szCs w:val="32"/>
        </w:rPr>
        <w:t>（六）公示和聘用</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根据考试、体检和考察结果，确定拟聘人员。拟聘人员名单将通过中央和国家机关所属事业单位公开招聘服务平台、民航局清算中心官网、民航人才网进行公示，公示期为</w:t>
      </w:r>
      <w:r>
        <w:rPr>
          <w:rFonts w:ascii="仿宋_GB2312" w:hAnsi="微软雅黑" w:eastAsia="仿宋_GB2312" w:cs="宋体"/>
          <w:color w:val="000000"/>
          <w:kern w:val="0"/>
          <w:sz w:val="32"/>
          <w:szCs w:val="32"/>
        </w:rPr>
        <w:t>5</w:t>
      </w:r>
      <w:r>
        <w:rPr>
          <w:rFonts w:hint="eastAsia" w:ascii="仿宋_GB2312" w:hAnsi="微软雅黑" w:eastAsia="仿宋_GB2312" w:cs="宋体"/>
          <w:color w:val="000000"/>
          <w:kern w:val="0"/>
          <w:sz w:val="32"/>
          <w:szCs w:val="32"/>
        </w:rPr>
        <w:t>个工作日。公示结果不影响聘用的，中心与其签订聘用合同，办理聘用手续。</w:t>
      </w:r>
    </w:p>
    <w:p>
      <w:pPr>
        <w:widowControl/>
        <w:spacing w:line="405" w:lineRule="atLeast"/>
        <w:ind w:firstLine="640" w:firstLineChars="200"/>
        <w:rPr>
          <w:rFonts w:ascii="黑体" w:hAnsi="黑体" w:eastAsia="黑体" w:cs="宋体"/>
          <w:color w:val="000000"/>
          <w:kern w:val="0"/>
          <w:sz w:val="32"/>
          <w:szCs w:val="32"/>
        </w:rPr>
      </w:pPr>
      <w:r>
        <w:rPr>
          <w:rFonts w:hint="eastAsia" w:ascii="黑体" w:hAnsi="黑体" w:eastAsia="黑体" w:cs="宋体"/>
          <w:bCs/>
          <w:color w:val="000000"/>
          <w:kern w:val="0"/>
          <w:sz w:val="32"/>
          <w:szCs w:val="32"/>
        </w:rPr>
        <w:t>四、福利待遇</w:t>
      </w:r>
    </w:p>
    <w:p>
      <w:pPr>
        <w:widowControl/>
        <w:spacing w:line="405" w:lineRule="atLeas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聘用人员为正式事业编制工作人员，相关薪资待遇按国家有关政策规定执行；工作餐、通勤班车、单身宿舍等相关福利按我中心相关政策执行。</w:t>
      </w:r>
    </w:p>
    <w:p>
      <w:pPr>
        <w:widowControl/>
        <w:spacing w:line="405" w:lineRule="atLeas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五、有关要求</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（一）报考人员须认真如实填写个人信息。未认真填写或仔细检查，造成信息不全、有误的，由报考人员承担责任。通过报名初审后，报名信息将不得修改。</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二</w:t>
      </w:r>
      <w:r>
        <w:rPr>
          <w:rFonts w:hint="eastAsia" w:ascii="仿宋_GB2312" w:hAnsi="微软雅黑" w:eastAsia="仿宋_GB2312" w:cs="宋体"/>
          <w:color w:val="000000"/>
          <w:kern w:val="0"/>
          <w:sz w:val="32"/>
          <w:szCs w:val="32"/>
        </w:rPr>
        <w:t>）报考人员在招聘过程中，凡是存在弄虚作假、舞弊、隐瞒事实或有其他妨碍招聘工作正常进行行为的，取消其报考资格；情节严重的，按法律法规追究其相关责任。</w:t>
      </w:r>
    </w:p>
    <w:p>
      <w:pPr>
        <w:widowControl/>
        <w:spacing w:line="405" w:lineRule="atLeas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六、联系方式</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（一）招聘咨询电话：010-84669</w:t>
      </w:r>
      <w:r>
        <w:rPr>
          <w:rFonts w:ascii="仿宋_GB2312" w:hAnsi="微软雅黑" w:eastAsia="仿宋_GB2312" w:cs="宋体"/>
          <w:color w:val="000000"/>
          <w:kern w:val="0"/>
          <w:sz w:val="32"/>
          <w:szCs w:val="32"/>
        </w:rPr>
        <w:t>221</w:t>
      </w:r>
    </w:p>
    <w:p>
      <w:pPr>
        <w:widowControl/>
        <w:spacing w:line="405" w:lineRule="atLeas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000000"/>
          <w:kern w:val="0"/>
          <w:sz w:val="32"/>
          <w:szCs w:val="32"/>
        </w:rPr>
        <w:t>（二）联系地址：北京市朝阳区金盏金融园区民航局清算中心</w:t>
      </w:r>
    </w:p>
    <w:p>
      <w:pPr>
        <w:widowControl/>
        <w:spacing w:line="405" w:lineRule="atLeast"/>
        <w:ind w:firstLine="640" w:firstLineChars="200"/>
        <w:rPr>
          <w:rFonts w:ascii="仿宋_GB2312" w:hAnsi="宋体" w:eastAsia="仿宋_GB2312" w:cs="宋体"/>
          <w:color w:val="000000"/>
          <w:kern w:val="0"/>
          <w:sz w:val="32"/>
          <w:szCs w:val="32"/>
        </w:rPr>
      </w:pPr>
    </w:p>
    <w:p>
      <w:pPr>
        <w:widowControl/>
        <w:spacing w:line="405" w:lineRule="atLeast"/>
        <w:ind w:firstLine="480"/>
        <w:jc w:val="left"/>
        <w:rPr>
          <w:rFonts w:ascii="仿宋_GB2312" w:hAnsi="宋体" w:eastAsia="仿宋_GB2312" w:cs="宋体"/>
          <w:color w:val="000000"/>
          <w:kern w:val="0"/>
          <w:sz w:val="32"/>
          <w:szCs w:val="32"/>
        </w:rPr>
      </w:pPr>
    </w:p>
    <w:p>
      <w:pPr>
        <w:widowControl/>
        <w:spacing w:line="405" w:lineRule="atLeast"/>
        <w:ind w:firstLine="480"/>
        <w:jc w:val="righ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民航局清算中心</w:t>
      </w:r>
    </w:p>
    <w:p>
      <w:pPr>
        <w:widowControl/>
        <w:spacing w:line="405" w:lineRule="atLeast"/>
        <w:ind w:firstLine="480"/>
        <w:jc w:val="right"/>
        <w:rPr>
          <w:rFonts w:ascii="仿宋_GB2312" w:hAnsi="微软雅黑" w:eastAsia="仿宋_GB2312" w:cs="宋体"/>
          <w:color w:val="333333"/>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025年1</w:t>
      </w:r>
      <w:r>
        <w:rPr>
          <w:rFonts w:hint="eastAsia" w:ascii="仿宋_GB2312" w:hAnsi="宋体" w:eastAsia="仿宋_GB2312" w:cs="宋体"/>
          <w:color w:val="000000"/>
          <w:kern w:val="0"/>
          <w:sz w:val="32"/>
          <w:szCs w:val="32"/>
        </w:rPr>
        <w:t>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160494"/>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62"/>
    <w:rsid w:val="000548F8"/>
    <w:rsid w:val="00065EE0"/>
    <w:rsid w:val="00090B38"/>
    <w:rsid w:val="000916AD"/>
    <w:rsid w:val="000A56DD"/>
    <w:rsid w:val="000B40F9"/>
    <w:rsid w:val="000C41F6"/>
    <w:rsid w:val="001037A1"/>
    <w:rsid w:val="00110544"/>
    <w:rsid w:val="00113C59"/>
    <w:rsid w:val="00114AA7"/>
    <w:rsid w:val="001220AC"/>
    <w:rsid w:val="0012241E"/>
    <w:rsid w:val="0012615C"/>
    <w:rsid w:val="00130C93"/>
    <w:rsid w:val="00130D67"/>
    <w:rsid w:val="00131796"/>
    <w:rsid w:val="00136987"/>
    <w:rsid w:val="00181004"/>
    <w:rsid w:val="0018282B"/>
    <w:rsid w:val="00190D04"/>
    <w:rsid w:val="00195A88"/>
    <w:rsid w:val="001C0EF7"/>
    <w:rsid w:val="001D2739"/>
    <w:rsid w:val="001E1CEE"/>
    <w:rsid w:val="001F1DDF"/>
    <w:rsid w:val="001F7E39"/>
    <w:rsid w:val="00205291"/>
    <w:rsid w:val="0021126F"/>
    <w:rsid w:val="00213E36"/>
    <w:rsid w:val="002254DD"/>
    <w:rsid w:val="002258FF"/>
    <w:rsid w:val="00243E2B"/>
    <w:rsid w:val="00263A87"/>
    <w:rsid w:val="0028218F"/>
    <w:rsid w:val="00285E4F"/>
    <w:rsid w:val="002867A0"/>
    <w:rsid w:val="00294E9E"/>
    <w:rsid w:val="002B3FFE"/>
    <w:rsid w:val="002B68D5"/>
    <w:rsid w:val="002D5E50"/>
    <w:rsid w:val="002D6FF0"/>
    <w:rsid w:val="002E51B7"/>
    <w:rsid w:val="002F282E"/>
    <w:rsid w:val="00380F7E"/>
    <w:rsid w:val="00393433"/>
    <w:rsid w:val="00393B99"/>
    <w:rsid w:val="003C1375"/>
    <w:rsid w:val="003C3B50"/>
    <w:rsid w:val="00422065"/>
    <w:rsid w:val="00441F00"/>
    <w:rsid w:val="00443216"/>
    <w:rsid w:val="00443B23"/>
    <w:rsid w:val="00450FD0"/>
    <w:rsid w:val="004578F8"/>
    <w:rsid w:val="004A0CB9"/>
    <w:rsid w:val="004A5CBE"/>
    <w:rsid w:val="004C005B"/>
    <w:rsid w:val="004F0137"/>
    <w:rsid w:val="004F2EBD"/>
    <w:rsid w:val="004F3E04"/>
    <w:rsid w:val="004F68A1"/>
    <w:rsid w:val="00531820"/>
    <w:rsid w:val="0053628A"/>
    <w:rsid w:val="00550E32"/>
    <w:rsid w:val="00556405"/>
    <w:rsid w:val="005830CA"/>
    <w:rsid w:val="005862A1"/>
    <w:rsid w:val="0059131E"/>
    <w:rsid w:val="00595160"/>
    <w:rsid w:val="005A3400"/>
    <w:rsid w:val="005C2289"/>
    <w:rsid w:val="005E0785"/>
    <w:rsid w:val="005F38A7"/>
    <w:rsid w:val="0061455C"/>
    <w:rsid w:val="00623476"/>
    <w:rsid w:val="0062432C"/>
    <w:rsid w:val="00667AA4"/>
    <w:rsid w:val="006B11B1"/>
    <w:rsid w:val="006B7CE2"/>
    <w:rsid w:val="006C2202"/>
    <w:rsid w:val="006D54D8"/>
    <w:rsid w:val="006E1D14"/>
    <w:rsid w:val="006F59D8"/>
    <w:rsid w:val="007059B1"/>
    <w:rsid w:val="007139B5"/>
    <w:rsid w:val="00722A3A"/>
    <w:rsid w:val="00726126"/>
    <w:rsid w:val="00730EBB"/>
    <w:rsid w:val="00735DE5"/>
    <w:rsid w:val="00746142"/>
    <w:rsid w:val="00746FA3"/>
    <w:rsid w:val="00750102"/>
    <w:rsid w:val="0075502D"/>
    <w:rsid w:val="00766341"/>
    <w:rsid w:val="007670A9"/>
    <w:rsid w:val="00771691"/>
    <w:rsid w:val="00781DEE"/>
    <w:rsid w:val="00783554"/>
    <w:rsid w:val="00787B4C"/>
    <w:rsid w:val="00795682"/>
    <w:rsid w:val="007A7354"/>
    <w:rsid w:val="007A7F5B"/>
    <w:rsid w:val="007C02D1"/>
    <w:rsid w:val="007C1DBE"/>
    <w:rsid w:val="007D0E0F"/>
    <w:rsid w:val="007D36D7"/>
    <w:rsid w:val="007E13E2"/>
    <w:rsid w:val="007E6AFC"/>
    <w:rsid w:val="007E7297"/>
    <w:rsid w:val="0081242A"/>
    <w:rsid w:val="0081680B"/>
    <w:rsid w:val="008366EE"/>
    <w:rsid w:val="0087221C"/>
    <w:rsid w:val="00874695"/>
    <w:rsid w:val="00876B99"/>
    <w:rsid w:val="00883799"/>
    <w:rsid w:val="008A2C95"/>
    <w:rsid w:val="008A3135"/>
    <w:rsid w:val="008A61B4"/>
    <w:rsid w:val="008B2C13"/>
    <w:rsid w:val="008C55DA"/>
    <w:rsid w:val="008D5746"/>
    <w:rsid w:val="008E3B02"/>
    <w:rsid w:val="008F6879"/>
    <w:rsid w:val="00916C28"/>
    <w:rsid w:val="00921393"/>
    <w:rsid w:val="00923857"/>
    <w:rsid w:val="00927B2C"/>
    <w:rsid w:val="00937FD0"/>
    <w:rsid w:val="009432A5"/>
    <w:rsid w:val="00975BC3"/>
    <w:rsid w:val="00981DC6"/>
    <w:rsid w:val="0098734A"/>
    <w:rsid w:val="00995E42"/>
    <w:rsid w:val="009A0254"/>
    <w:rsid w:val="009A245E"/>
    <w:rsid w:val="009A6163"/>
    <w:rsid w:val="009B77E4"/>
    <w:rsid w:val="009C08A6"/>
    <w:rsid w:val="009C1EB1"/>
    <w:rsid w:val="009C62B0"/>
    <w:rsid w:val="009D256B"/>
    <w:rsid w:val="009D7157"/>
    <w:rsid w:val="009E3BBE"/>
    <w:rsid w:val="009F4F2F"/>
    <w:rsid w:val="00A07F6C"/>
    <w:rsid w:val="00A156FD"/>
    <w:rsid w:val="00A21369"/>
    <w:rsid w:val="00A27B23"/>
    <w:rsid w:val="00A329C9"/>
    <w:rsid w:val="00A34C3C"/>
    <w:rsid w:val="00A6586D"/>
    <w:rsid w:val="00A964A7"/>
    <w:rsid w:val="00AC5C30"/>
    <w:rsid w:val="00AC6F84"/>
    <w:rsid w:val="00AE318C"/>
    <w:rsid w:val="00AE6497"/>
    <w:rsid w:val="00B10707"/>
    <w:rsid w:val="00B20F26"/>
    <w:rsid w:val="00B676F6"/>
    <w:rsid w:val="00B85706"/>
    <w:rsid w:val="00B94255"/>
    <w:rsid w:val="00BA5C36"/>
    <w:rsid w:val="00BD31EE"/>
    <w:rsid w:val="00BD4BD7"/>
    <w:rsid w:val="00BE1889"/>
    <w:rsid w:val="00BF5EE5"/>
    <w:rsid w:val="00BF7C53"/>
    <w:rsid w:val="00C02C1E"/>
    <w:rsid w:val="00C079DB"/>
    <w:rsid w:val="00C35238"/>
    <w:rsid w:val="00C40337"/>
    <w:rsid w:val="00C4634A"/>
    <w:rsid w:val="00C52165"/>
    <w:rsid w:val="00C640F3"/>
    <w:rsid w:val="00C65909"/>
    <w:rsid w:val="00C67E33"/>
    <w:rsid w:val="00C84CD1"/>
    <w:rsid w:val="00C867CB"/>
    <w:rsid w:val="00CB2FB0"/>
    <w:rsid w:val="00CC672F"/>
    <w:rsid w:val="00CD6418"/>
    <w:rsid w:val="00CE62F3"/>
    <w:rsid w:val="00CE70F1"/>
    <w:rsid w:val="00CF1E5F"/>
    <w:rsid w:val="00CF3250"/>
    <w:rsid w:val="00D03C71"/>
    <w:rsid w:val="00D04CC7"/>
    <w:rsid w:val="00D063EB"/>
    <w:rsid w:val="00D30613"/>
    <w:rsid w:val="00D36562"/>
    <w:rsid w:val="00D37C3B"/>
    <w:rsid w:val="00D50021"/>
    <w:rsid w:val="00D519A7"/>
    <w:rsid w:val="00D5603A"/>
    <w:rsid w:val="00D90BAD"/>
    <w:rsid w:val="00D934F8"/>
    <w:rsid w:val="00D97FFE"/>
    <w:rsid w:val="00DB6163"/>
    <w:rsid w:val="00DC3DBF"/>
    <w:rsid w:val="00DE61EE"/>
    <w:rsid w:val="00DF488D"/>
    <w:rsid w:val="00E761AB"/>
    <w:rsid w:val="00E80B34"/>
    <w:rsid w:val="00E86BD0"/>
    <w:rsid w:val="00E938C4"/>
    <w:rsid w:val="00F07C0B"/>
    <w:rsid w:val="00F27BC6"/>
    <w:rsid w:val="00F30A6C"/>
    <w:rsid w:val="00F31CE3"/>
    <w:rsid w:val="00F3385F"/>
    <w:rsid w:val="00F36731"/>
    <w:rsid w:val="00F5519B"/>
    <w:rsid w:val="00F72003"/>
    <w:rsid w:val="00F74381"/>
    <w:rsid w:val="00F774B3"/>
    <w:rsid w:val="00F81181"/>
    <w:rsid w:val="00FA220B"/>
    <w:rsid w:val="00FA51B2"/>
    <w:rsid w:val="00FC4384"/>
    <w:rsid w:val="00FE2AB8"/>
    <w:rsid w:val="E0FF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uiPriority w:val="99"/>
    <w:rPr>
      <w:sz w:val="18"/>
      <w:szCs w:val="18"/>
    </w:rPr>
  </w:style>
  <w:style w:type="character" w:customStyle="1" w:styleId="14">
    <w:name w:val="批注文字 Char"/>
    <w:basedOn w:val="8"/>
    <w:link w:val="2"/>
    <w:semiHidden/>
    <w:uiPriority w:val="99"/>
  </w:style>
  <w:style w:type="character" w:customStyle="1" w:styleId="15">
    <w:name w:val="批注主题 Char"/>
    <w:basedOn w:val="14"/>
    <w:link w:val="6"/>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479</Words>
  <Characters>2731</Characters>
  <Lines>22</Lines>
  <Paragraphs>6</Paragraphs>
  <TotalTime>51</TotalTime>
  <ScaleCrop>false</ScaleCrop>
  <LinksUpToDate>false</LinksUpToDate>
  <CharactersWithSpaces>3204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2025-12-08T13:31:00Z</dcterms:created>
  <dc:creator>王融雪</dc:creator>
  <cp:lastModifiedBy>admin</cp:lastModifiedBy>
  <cp:lastPrinted>2025-12-16T10:15:18Z</cp:lastPrinted>
  <dcterms:modified xsi:type="dcterms:W3CDTF">2025-12-16T10:16:53Z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