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spacing w:after="0" w:line="6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pStyle w:val="3"/>
        <w:spacing w:before="0" w:after="0" w:line="560" w:lineRule="exact"/>
        <w:ind w:firstLine="0" w:firstLineChars="0"/>
        <w:jc w:val="center"/>
        <w:rPr>
          <w:rFonts w:ascii="宋体" w:hAnsi="宋体" w:eastAsia="方正小标宋简体" w:cs="Times New Roman"/>
          <w:kern w:val="1"/>
          <w:sz w:val="44"/>
          <w:szCs w:val="44"/>
          <w:lang w:bidi="hi-IN"/>
        </w:rPr>
      </w:pPr>
    </w:p>
    <w:p>
      <w:pPr>
        <w:pStyle w:val="3"/>
        <w:spacing w:before="0" w:after="0" w:line="560" w:lineRule="exact"/>
        <w:ind w:firstLine="0" w:firstLineChars="0"/>
        <w:jc w:val="center"/>
        <w:rPr>
          <w:rFonts w:ascii="宋体" w:hAnsi="宋体" w:eastAsia="方正小标宋简体" w:cs="Times New Roman"/>
          <w:kern w:val="1"/>
          <w:sz w:val="44"/>
          <w:szCs w:val="44"/>
          <w:lang w:bidi="hi-IN"/>
        </w:rPr>
      </w:pPr>
      <w:r>
        <w:rPr>
          <w:rFonts w:hint="eastAsia" w:ascii="宋体" w:hAnsi="宋体" w:eastAsia="方正小标宋简体" w:cs="Times New Roman"/>
          <w:kern w:val="1"/>
          <w:sz w:val="44"/>
          <w:szCs w:val="44"/>
          <w:lang w:val="en-US" w:eastAsia="zh-CN" w:bidi="hi-IN"/>
        </w:rPr>
        <w:t>中国地震应急搜救中心</w:t>
      </w:r>
      <w:r>
        <w:rPr>
          <w:rFonts w:ascii="宋体" w:hAnsi="宋体" w:eastAsia="方正小标宋简体" w:cs="Times New Roman"/>
          <w:kern w:val="1"/>
          <w:sz w:val="44"/>
          <w:szCs w:val="44"/>
          <w:lang w:bidi="hi-IN"/>
        </w:rPr>
        <w:t>公开招聘</w:t>
      </w:r>
    </w:p>
    <w:p>
      <w:pPr>
        <w:pStyle w:val="3"/>
        <w:spacing w:before="0" w:after="0" w:line="560" w:lineRule="exact"/>
        <w:ind w:firstLine="0" w:firstLineChars="0"/>
        <w:jc w:val="center"/>
        <w:rPr>
          <w:rFonts w:hint="default" w:ascii="宋体" w:hAnsi="宋体" w:eastAsia="方正小标宋简体" w:cs="Times New Roman"/>
          <w:kern w:val="1"/>
          <w:sz w:val="44"/>
          <w:szCs w:val="44"/>
          <w:lang w:val="en-US" w:eastAsia="zh-CN" w:bidi="hi-IN"/>
        </w:rPr>
      </w:pPr>
      <w:r>
        <w:rPr>
          <w:rFonts w:ascii="宋体" w:hAnsi="宋体" w:eastAsia="方正小标宋简体" w:cs="Times New Roman"/>
          <w:kern w:val="1"/>
          <w:sz w:val="44"/>
          <w:szCs w:val="44"/>
          <w:lang w:bidi="hi-IN"/>
        </w:rPr>
        <w:t>拟聘人员公示</w:t>
      </w:r>
    </w:p>
    <w:p>
      <w:pPr>
        <w:spacing w:line="560" w:lineRule="exact"/>
        <w:ind w:firstLine="640"/>
        <w:rPr>
          <w:rFonts w:ascii="宋体" w:hAnsi="宋体" w:eastAsia="仿宋_GB2312" w:cs="Times New Roman"/>
          <w:kern w:val="0"/>
          <w:sz w:val="32"/>
          <w:szCs w:val="32"/>
        </w:rPr>
      </w:pPr>
    </w:p>
    <w:tbl>
      <w:tblPr>
        <w:tblStyle w:val="6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2317"/>
        <w:gridCol w:w="1286"/>
        <w:gridCol w:w="2133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rFonts w:hint="eastAsia" w:ascii="黑体" w:hAnsi="黑体" w:eastAsia="黑体" w:cs="黑体"/>
                <w:color w:val="000000"/>
                <w:kern w:val="1"/>
                <w:sz w:val="24"/>
                <w:szCs w:val="24"/>
                <w:lang w:bidi="hi-I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hint="eastAsia" w:ascii="黑体" w:hAnsi="黑体" w:eastAsia="黑体" w:cs="黑体"/>
                <w:color w:val="000000"/>
                <w:kern w:val="1"/>
                <w:sz w:val="24"/>
                <w:szCs w:val="24"/>
                <w:lang w:bidi="hi-IN"/>
              </w:rPr>
              <w:t>批次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uppressAutoHyphens/>
              <w:spacing w:line="560" w:lineRule="exact"/>
              <w:jc w:val="center"/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  <w:t>岗位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widowControl/>
              <w:suppressAutoHyphens/>
              <w:spacing w:line="560" w:lineRule="exact"/>
              <w:jc w:val="center"/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  <w:t>姓 名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widowControl/>
              <w:suppressAutoHyphens/>
              <w:spacing w:line="560" w:lineRule="exact"/>
              <w:jc w:val="center"/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eastAsia="zh-CN" w:bidi="hi-IN"/>
              </w:rPr>
            </w:pPr>
            <w:r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  <w:t>学历学位</w:t>
            </w:r>
            <w:r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eastAsia="zh-CN" w:bidi="hi-IN"/>
              </w:rPr>
              <w:t>及专业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uppressAutoHyphens/>
              <w:spacing w:line="400" w:lineRule="exact"/>
              <w:jc w:val="center"/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  <w:t>毕业院校/</w:t>
            </w:r>
          </w:p>
          <w:p>
            <w:pPr>
              <w:widowControl/>
              <w:suppressAutoHyphens/>
              <w:spacing w:line="400" w:lineRule="exact"/>
              <w:jc w:val="center"/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  <w:t>原工作单位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3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2025年度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第二批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财务资产部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会计岗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林海洁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硕士研究生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会计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中国传媒大学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纪检室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纪律检查岗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仇  彤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硕士研究生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公共管理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中国地质大学（北京）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综合培训部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项目管理岗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霍  靖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硕士研究生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建筑学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吉林建筑大学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装备保障部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库房智能化管理岗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王   研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硕士研究生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物流工程与管理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北京物资学院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</w:p>
        </w:tc>
        <w:tc>
          <w:tcPr>
            <w:tcW w:w="23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航空应急救援技术中心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航空救援支撑岗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马占森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硕士研究生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电子信息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吉林化工学院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</w:p>
        </w:tc>
        <w:tc>
          <w:tcPr>
            <w:tcW w:w="23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袁  博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硕士研究生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计算机技术       （电子信息方向）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北京工商大学</w:t>
            </w:r>
          </w:p>
        </w:tc>
      </w:tr>
    </w:tbl>
    <w:p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应急搜救部应急搜救岗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资格审查合格人数与计划招聘人数比例未达到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: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经用人单位领导班子集体研究，取消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岗位招聘计划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受理电话：</w:t>
      </w:r>
      <w:r>
        <w:rPr>
          <w:rFonts w:hint="eastAsia" w:ascii="宋体" w:hAnsi="宋体" w:eastAsia="宋体" w:cs="宋体"/>
          <w:kern w:val="0"/>
          <w:sz w:val="32"/>
          <w:szCs w:val="32"/>
        </w:rPr>
        <w:t>010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-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83933259</w:t>
      </w:r>
    </w:p>
    <w:p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来信地址及邮编：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北京市石景山区玉泉西街1号 10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" w:eastAsia="zh-CN"/>
        </w:rPr>
        <w:t>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049</w:t>
      </w:r>
    </w:p>
    <w:p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80ADB"/>
    <w:rsid w:val="4ED80ADB"/>
    <w:rsid w:val="6FB1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Title"/>
    <w:basedOn w:val="1"/>
    <w:next w:val="1"/>
    <w:qFormat/>
    <w:uiPriority w:val="0"/>
    <w:pPr>
      <w:widowControl w:val="0"/>
      <w:spacing w:line="560" w:lineRule="exact"/>
      <w:ind w:firstLine="200" w:firstLineChars="200"/>
      <w:outlineLvl w:val="1"/>
    </w:pPr>
    <w:rPr>
      <w:rFonts w:ascii="Cambria" w:hAnsi="Cambria" w:eastAsia="黑体" w:cs="Times New Roman"/>
      <w:bCs/>
      <w:sz w:val="32"/>
      <w:szCs w:val="32"/>
      <w:lang w:val="en-US" w:eastAsia="zh-CN" w:bidi="ar-SA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2025-07-09T15:07:00Z</dcterms:created>
  <dc:creator>李春艳</dc:creator>
  <cp:lastModifiedBy>admin</cp:lastModifiedBy>
  <dcterms:modified xsi:type="dcterms:W3CDTF">2025-07-11T17:15:38Z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D5EE4AF95630479F959CCBBD9F8ECEDF_11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