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sz w:val="36"/>
          <w:szCs w:val="32"/>
        </w:rPr>
      </w:pPr>
      <w:bookmarkStart w:id="0" w:name="_GoBack"/>
      <w:bookmarkEnd w:id="0"/>
      <w:r>
        <w:rPr>
          <w:rFonts w:hint="eastAsia" w:ascii="Times New Roman" w:hAnsi="Times New Roman" w:eastAsia="方正小标宋简体"/>
          <w:sz w:val="36"/>
          <w:szCs w:val="32"/>
        </w:rPr>
        <w:t>社保基金会</w:t>
      </w:r>
      <w:r>
        <w:rPr>
          <w:rFonts w:ascii="Times New Roman" w:hAnsi="Times New Roman" w:eastAsia="方正小标宋简体"/>
          <w:sz w:val="36"/>
          <w:szCs w:val="32"/>
        </w:rPr>
        <w:t>2024</w:t>
      </w:r>
      <w:r>
        <w:rPr>
          <w:rFonts w:hint="eastAsia" w:ascii="Times New Roman" w:hAnsi="Times New Roman" w:eastAsia="方正小标宋简体"/>
          <w:sz w:val="36"/>
          <w:szCs w:val="32"/>
        </w:rPr>
        <w:t>年公开招聘工作人员岗位信息表</w:t>
      </w:r>
    </w:p>
    <w:p>
      <w:pPr>
        <w:jc w:val="center"/>
        <w:rPr>
          <w:rFonts w:ascii="Times New Roman" w:hAnsi="Times New Roman" w:eastAsia="仿宋_GB2312"/>
          <w:sz w:val="24"/>
          <w:szCs w:val="28"/>
        </w:rPr>
      </w:pPr>
    </w:p>
    <w:p>
      <w:pPr>
        <w:jc w:val="left"/>
        <w:rPr>
          <w:rFonts w:ascii="Times New Roman" w:hAnsi="Times New Roman" w:eastAsia="仿宋_GB2312"/>
          <w:sz w:val="22"/>
          <w:szCs w:val="28"/>
        </w:rPr>
      </w:pPr>
      <w:r>
        <w:rPr>
          <w:rFonts w:hint="eastAsia" w:ascii="Times New Roman" w:hAnsi="Times New Roman" w:eastAsia="仿宋_GB2312"/>
          <w:sz w:val="22"/>
          <w:szCs w:val="28"/>
        </w:rPr>
        <w:t>相关提示：</w:t>
      </w:r>
      <w:r>
        <w:rPr>
          <w:rFonts w:ascii="Times New Roman" w:hAnsi="Times New Roman" w:eastAsia="仿宋_GB2312"/>
          <w:sz w:val="22"/>
          <w:szCs w:val="28"/>
        </w:rPr>
        <w:t>1</w:t>
      </w:r>
      <w:r>
        <w:rPr>
          <w:rFonts w:hint="eastAsia" w:ascii="Times New Roman" w:hAnsi="Times New Roman" w:eastAsia="仿宋_GB2312"/>
          <w:sz w:val="22"/>
          <w:szCs w:val="28"/>
        </w:rPr>
        <w:t>、岗位要求的专业条件为报考者获得的最高学历对应专业；</w:t>
      </w:r>
      <w:r>
        <w:rPr>
          <w:rFonts w:ascii="Times New Roman" w:hAnsi="Times New Roman" w:eastAsia="仿宋_GB2312"/>
          <w:sz w:val="22"/>
          <w:szCs w:val="28"/>
        </w:rPr>
        <w:t>2</w:t>
      </w:r>
      <w:r>
        <w:rPr>
          <w:rFonts w:hint="eastAsia" w:ascii="Times New Roman" w:hAnsi="Times New Roman" w:eastAsia="仿宋_GB2312"/>
          <w:sz w:val="22"/>
          <w:szCs w:val="28"/>
        </w:rPr>
        <w:t>、因落户指标有限，应聘者需符合表格中招聘对象生源地相关要求。</w:t>
      </w:r>
    </w:p>
    <w:tbl>
      <w:tblPr>
        <w:tblStyle w:val="9"/>
        <w:tblW w:w="14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985"/>
        <w:gridCol w:w="62"/>
        <w:gridCol w:w="732"/>
        <w:gridCol w:w="62"/>
        <w:gridCol w:w="1804"/>
        <w:gridCol w:w="39"/>
        <w:gridCol w:w="694"/>
        <w:gridCol w:w="15"/>
        <w:gridCol w:w="647"/>
        <w:gridCol w:w="62"/>
        <w:gridCol w:w="1072"/>
        <w:gridCol w:w="62"/>
        <w:gridCol w:w="3557"/>
        <w:gridCol w:w="355"/>
        <w:gridCol w:w="1469"/>
        <w:gridCol w:w="62"/>
        <w:gridCol w:w="1923"/>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851" w:hRule="atLeast"/>
          <w:jc w:val="center"/>
        </w:trPr>
        <w:tc>
          <w:tcPr>
            <w:tcW w:w="510" w:type="dxa"/>
            <w:vAlign w:val="center"/>
          </w:tcPr>
          <w:p>
            <w:pPr>
              <w:adjustRightInd w:val="0"/>
              <w:spacing w:line="240" w:lineRule="atLeast"/>
              <w:jc w:val="center"/>
              <w:rPr>
                <w:rFonts w:ascii="Times New Roman" w:hAnsi="Times New Roman" w:eastAsia="仿宋_GB2312"/>
                <w:b/>
                <w:bCs/>
              </w:rPr>
            </w:pPr>
            <w:r>
              <w:rPr>
                <w:rFonts w:ascii="Times New Roman" w:hAnsi="Times New Roman" w:eastAsia="仿宋_GB2312"/>
                <w:b/>
                <w:bCs/>
              </w:rPr>
              <w:t>序</w:t>
            </w:r>
          </w:p>
          <w:p>
            <w:pPr>
              <w:adjustRightInd w:val="0"/>
              <w:spacing w:line="240" w:lineRule="atLeast"/>
              <w:jc w:val="center"/>
              <w:rPr>
                <w:rFonts w:ascii="Times New Roman" w:hAnsi="Times New Roman" w:eastAsia="仿宋_GB2312"/>
                <w:b/>
                <w:bCs/>
              </w:rPr>
            </w:pPr>
            <w:r>
              <w:rPr>
                <w:rFonts w:ascii="Times New Roman" w:hAnsi="Times New Roman" w:eastAsia="仿宋_GB2312"/>
                <w:b/>
                <w:bCs/>
              </w:rPr>
              <w:t>号</w:t>
            </w:r>
          </w:p>
        </w:tc>
        <w:tc>
          <w:tcPr>
            <w:tcW w:w="985" w:type="dxa"/>
            <w:vAlign w:val="center"/>
          </w:tcPr>
          <w:p>
            <w:pPr>
              <w:adjustRightInd w:val="0"/>
              <w:spacing w:line="240" w:lineRule="atLeast"/>
              <w:jc w:val="center"/>
              <w:rPr>
                <w:rFonts w:ascii="Times New Roman" w:hAnsi="Times New Roman" w:eastAsia="仿宋_GB2312"/>
                <w:b/>
                <w:bCs/>
              </w:rPr>
            </w:pPr>
            <w:r>
              <w:rPr>
                <w:rFonts w:hint="eastAsia" w:ascii="Times New Roman" w:hAnsi="Times New Roman" w:eastAsia="仿宋_GB2312"/>
                <w:b/>
                <w:bCs/>
              </w:rPr>
              <w:t>工作</w:t>
            </w:r>
            <w:r>
              <w:rPr>
                <w:rFonts w:ascii="Times New Roman" w:hAnsi="Times New Roman" w:eastAsia="仿宋_GB2312"/>
                <w:b/>
                <w:bCs/>
              </w:rPr>
              <w:t>部门</w:t>
            </w:r>
          </w:p>
        </w:tc>
        <w:tc>
          <w:tcPr>
            <w:tcW w:w="794" w:type="dxa"/>
            <w:gridSpan w:val="2"/>
            <w:vAlign w:val="center"/>
          </w:tcPr>
          <w:p>
            <w:pPr>
              <w:adjustRightInd w:val="0"/>
              <w:spacing w:line="240" w:lineRule="atLeast"/>
              <w:jc w:val="center"/>
              <w:rPr>
                <w:rFonts w:ascii="Times New Roman" w:hAnsi="Times New Roman" w:eastAsia="仿宋_GB2312"/>
                <w:b/>
                <w:bCs/>
              </w:rPr>
            </w:pPr>
            <w:r>
              <w:rPr>
                <w:rFonts w:ascii="Times New Roman" w:hAnsi="Times New Roman" w:eastAsia="仿宋_GB2312"/>
                <w:b/>
                <w:bCs/>
              </w:rPr>
              <w:t>招聘岗位</w:t>
            </w:r>
          </w:p>
        </w:tc>
        <w:tc>
          <w:tcPr>
            <w:tcW w:w="1866" w:type="dxa"/>
            <w:gridSpan w:val="2"/>
            <w:vAlign w:val="center"/>
          </w:tcPr>
          <w:p>
            <w:pPr>
              <w:adjustRightInd w:val="0"/>
              <w:spacing w:line="240" w:lineRule="atLeast"/>
              <w:jc w:val="center"/>
              <w:rPr>
                <w:rFonts w:ascii="Times New Roman" w:hAnsi="Times New Roman" w:eastAsia="仿宋_GB2312"/>
                <w:b/>
                <w:bCs/>
              </w:rPr>
            </w:pPr>
            <w:r>
              <w:rPr>
                <w:rFonts w:ascii="Times New Roman" w:hAnsi="Times New Roman" w:eastAsia="仿宋_GB2312"/>
                <w:b/>
                <w:bCs/>
              </w:rPr>
              <w:t>岗位简介</w:t>
            </w:r>
          </w:p>
        </w:tc>
        <w:tc>
          <w:tcPr>
            <w:tcW w:w="733" w:type="dxa"/>
            <w:gridSpan w:val="2"/>
            <w:vAlign w:val="center"/>
          </w:tcPr>
          <w:p>
            <w:pPr>
              <w:adjustRightInd w:val="0"/>
              <w:spacing w:line="240" w:lineRule="atLeast"/>
              <w:jc w:val="center"/>
              <w:rPr>
                <w:rFonts w:ascii="Times New Roman" w:hAnsi="Times New Roman" w:eastAsia="仿宋_GB2312"/>
                <w:b/>
                <w:bCs/>
              </w:rPr>
            </w:pPr>
            <w:r>
              <w:rPr>
                <w:rFonts w:ascii="Times New Roman" w:hAnsi="Times New Roman" w:eastAsia="仿宋_GB2312"/>
                <w:b/>
                <w:bCs/>
              </w:rPr>
              <w:t>招聘人数</w:t>
            </w:r>
          </w:p>
        </w:tc>
        <w:tc>
          <w:tcPr>
            <w:tcW w:w="662" w:type="dxa"/>
            <w:gridSpan w:val="2"/>
            <w:vAlign w:val="center"/>
          </w:tcPr>
          <w:p>
            <w:pPr>
              <w:adjustRightInd w:val="0"/>
              <w:spacing w:line="240" w:lineRule="atLeast"/>
              <w:jc w:val="center"/>
              <w:rPr>
                <w:rFonts w:ascii="Times New Roman" w:hAnsi="Times New Roman" w:eastAsia="仿宋_GB2312"/>
                <w:b/>
                <w:bCs/>
              </w:rPr>
            </w:pPr>
            <w:r>
              <w:rPr>
                <w:rFonts w:ascii="Times New Roman" w:hAnsi="Times New Roman" w:eastAsia="仿宋_GB2312"/>
                <w:b/>
                <w:bCs/>
              </w:rPr>
              <w:t>政治面貌</w:t>
            </w:r>
          </w:p>
        </w:tc>
        <w:tc>
          <w:tcPr>
            <w:tcW w:w="1134" w:type="dxa"/>
            <w:gridSpan w:val="2"/>
            <w:vAlign w:val="center"/>
          </w:tcPr>
          <w:p>
            <w:pPr>
              <w:adjustRightInd w:val="0"/>
              <w:spacing w:line="240" w:lineRule="atLeast"/>
              <w:jc w:val="center"/>
              <w:rPr>
                <w:rFonts w:ascii="Times New Roman" w:hAnsi="Times New Roman" w:eastAsia="仿宋_GB2312"/>
                <w:b/>
                <w:bCs/>
              </w:rPr>
            </w:pPr>
            <w:r>
              <w:rPr>
                <w:rFonts w:ascii="Times New Roman" w:hAnsi="Times New Roman" w:eastAsia="仿宋_GB2312"/>
                <w:b/>
                <w:bCs/>
              </w:rPr>
              <w:t>学历学位</w:t>
            </w:r>
          </w:p>
        </w:tc>
        <w:tc>
          <w:tcPr>
            <w:tcW w:w="3619" w:type="dxa"/>
            <w:gridSpan w:val="2"/>
            <w:vAlign w:val="center"/>
          </w:tcPr>
          <w:p>
            <w:pPr>
              <w:adjustRightInd w:val="0"/>
              <w:spacing w:line="240" w:lineRule="atLeast"/>
              <w:jc w:val="center"/>
              <w:rPr>
                <w:rFonts w:ascii="Times New Roman" w:hAnsi="Times New Roman" w:eastAsia="仿宋_GB2312"/>
                <w:b/>
                <w:bCs/>
              </w:rPr>
            </w:pPr>
            <w:r>
              <w:rPr>
                <w:rFonts w:ascii="Times New Roman" w:hAnsi="Times New Roman" w:eastAsia="仿宋_GB2312"/>
                <w:b/>
                <w:bCs/>
              </w:rPr>
              <w:t>专业</w:t>
            </w:r>
          </w:p>
        </w:tc>
        <w:tc>
          <w:tcPr>
            <w:tcW w:w="1824" w:type="dxa"/>
            <w:gridSpan w:val="2"/>
            <w:vAlign w:val="center"/>
          </w:tcPr>
          <w:p>
            <w:pPr>
              <w:adjustRightInd w:val="0"/>
              <w:spacing w:line="240" w:lineRule="atLeast"/>
              <w:jc w:val="center"/>
              <w:rPr>
                <w:rFonts w:ascii="Times New Roman" w:hAnsi="Times New Roman" w:eastAsia="仿宋_GB2312"/>
                <w:b/>
                <w:bCs/>
              </w:rPr>
            </w:pPr>
            <w:r>
              <w:rPr>
                <w:rFonts w:ascii="Times New Roman" w:hAnsi="Times New Roman" w:eastAsia="仿宋_GB2312"/>
                <w:b/>
                <w:bCs/>
              </w:rPr>
              <w:t>招聘对象</w:t>
            </w:r>
          </w:p>
        </w:tc>
        <w:tc>
          <w:tcPr>
            <w:tcW w:w="1985" w:type="dxa"/>
            <w:gridSpan w:val="2"/>
            <w:vAlign w:val="center"/>
          </w:tcPr>
          <w:p>
            <w:pPr>
              <w:adjustRightInd w:val="0"/>
              <w:spacing w:line="240" w:lineRule="atLeast"/>
              <w:jc w:val="center"/>
              <w:rPr>
                <w:rFonts w:ascii="Times New Roman" w:hAnsi="Times New Roman" w:eastAsia="仿宋_GB2312"/>
                <w:b/>
                <w:bCs/>
              </w:rPr>
            </w:pPr>
            <w:r>
              <w:rPr>
                <w:rFonts w:ascii="Times New Roman" w:hAnsi="Times New Roman" w:eastAsia="仿宋_GB2312"/>
                <w:b/>
                <w:bCs/>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2847" w:hRule="atLeast"/>
          <w:jc w:val="center"/>
        </w:trPr>
        <w:tc>
          <w:tcPr>
            <w:tcW w:w="510" w:type="dxa"/>
            <w:vAlign w:val="center"/>
          </w:tcPr>
          <w:p>
            <w:pPr>
              <w:adjustRightInd w:val="0"/>
              <w:spacing w:line="240" w:lineRule="atLeast"/>
              <w:jc w:val="center"/>
              <w:rPr>
                <w:rFonts w:ascii="Times New Roman" w:hAnsi="Times New Roman" w:eastAsia="仿宋_GB2312"/>
                <w:bCs/>
                <w:sz w:val="24"/>
                <w:szCs w:val="24"/>
              </w:rPr>
            </w:pPr>
            <w:r>
              <w:rPr>
                <w:rFonts w:ascii="Times New Roman" w:hAnsi="Times New Roman" w:eastAsia="仿宋_GB2312"/>
                <w:bCs/>
                <w:sz w:val="24"/>
                <w:szCs w:val="24"/>
              </w:rPr>
              <w:t>1</w:t>
            </w:r>
          </w:p>
        </w:tc>
        <w:tc>
          <w:tcPr>
            <w:tcW w:w="985" w:type="dxa"/>
            <w:vMerge w:val="restart"/>
            <w:vAlign w:val="center"/>
          </w:tcPr>
          <w:p>
            <w:pPr>
              <w:widowControl/>
              <w:adjustRightInd w:val="0"/>
              <w:spacing w:line="240" w:lineRule="atLeast"/>
              <w:jc w:val="center"/>
              <w:rPr>
                <w:rFonts w:ascii="Times New Roman" w:hAnsi="Times New Roman" w:eastAsia="仿宋_GB2312"/>
                <w:szCs w:val="21"/>
              </w:rPr>
            </w:pPr>
            <w:r>
              <w:rPr>
                <w:rFonts w:ascii="Times New Roman" w:hAnsi="Times New Roman" w:eastAsia="仿宋_GB2312"/>
                <w:szCs w:val="21"/>
              </w:rPr>
              <w:t>综合部</w:t>
            </w:r>
          </w:p>
        </w:tc>
        <w:tc>
          <w:tcPr>
            <w:tcW w:w="794" w:type="dxa"/>
            <w:gridSpan w:val="2"/>
            <w:vAlign w:val="center"/>
          </w:tcPr>
          <w:p>
            <w:pPr>
              <w:widowControl/>
              <w:adjustRightInd w:val="0"/>
              <w:spacing w:line="240" w:lineRule="atLeast"/>
              <w:jc w:val="center"/>
              <w:rPr>
                <w:rFonts w:ascii="Times New Roman" w:hAnsi="Times New Roman" w:eastAsia="仿宋_GB2312"/>
                <w:szCs w:val="21"/>
              </w:rPr>
            </w:pPr>
            <w:r>
              <w:rPr>
                <w:rFonts w:ascii="Times New Roman" w:hAnsi="Times New Roman" w:eastAsia="仿宋_GB2312"/>
                <w:szCs w:val="21"/>
              </w:rPr>
              <w:t>综合一岗</w:t>
            </w:r>
          </w:p>
        </w:tc>
        <w:tc>
          <w:tcPr>
            <w:tcW w:w="1866" w:type="dxa"/>
            <w:gridSpan w:val="2"/>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主要从事</w:t>
            </w:r>
            <w:r>
              <w:rPr>
                <w:rFonts w:ascii="Times New Roman" w:hAnsi="Times New Roman" w:eastAsia="仿宋_GB2312"/>
                <w:szCs w:val="21"/>
              </w:rPr>
              <w:t>文稿起草、综合管理、新闻宣传等工作</w:t>
            </w:r>
          </w:p>
        </w:tc>
        <w:tc>
          <w:tcPr>
            <w:tcW w:w="733" w:type="dxa"/>
            <w:gridSpan w:val="2"/>
            <w:vAlign w:val="center"/>
          </w:tcPr>
          <w:p>
            <w:pPr>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1</w:t>
            </w:r>
          </w:p>
        </w:tc>
        <w:tc>
          <w:tcPr>
            <w:tcW w:w="662" w:type="dxa"/>
            <w:gridSpan w:val="2"/>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不限</w:t>
            </w:r>
          </w:p>
        </w:tc>
        <w:tc>
          <w:tcPr>
            <w:tcW w:w="1134" w:type="dxa"/>
            <w:gridSpan w:val="2"/>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硕士研究生及以上</w:t>
            </w:r>
          </w:p>
        </w:tc>
        <w:tc>
          <w:tcPr>
            <w:tcW w:w="3619" w:type="dxa"/>
            <w:gridSpan w:val="2"/>
            <w:vAlign w:val="center"/>
          </w:tcPr>
          <w:p>
            <w:pPr>
              <w:widowControl/>
              <w:adjustRightInd w:val="0"/>
              <w:spacing w:line="240" w:lineRule="atLeast"/>
              <w:rPr>
                <w:rFonts w:ascii="Times New Roman" w:hAnsi="Times New Roman" w:eastAsia="仿宋_GB2312"/>
                <w:kern w:val="0"/>
                <w:szCs w:val="21"/>
              </w:rPr>
            </w:pPr>
            <w:r>
              <w:rPr>
                <w:rFonts w:hint="eastAsia" w:ascii="Times New Roman" w:hAnsi="Times New Roman" w:eastAsia="仿宋_GB2312"/>
                <w:kern w:val="0"/>
                <w:szCs w:val="21"/>
              </w:rPr>
              <w:t>经济学（02）、法学（0301）、政治学（0302）、社会学（0303）、法律（0351）、中国语言文学（0501）、新闻传播学（0503）、工商管理学（1202）、公共管理学（1204）</w:t>
            </w:r>
          </w:p>
        </w:tc>
        <w:tc>
          <w:tcPr>
            <w:tcW w:w="1824" w:type="dxa"/>
            <w:gridSpan w:val="2"/>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国内应届毕业生（</w:t>
            </w:r>
            <w:r>
              <w:rPr>
                <w:rFonts w:hint="eastAsia" w:ascii="Times New Roman" w:hAnsi="Times New Roman" w:eastAsia="仿宋_GB2312"/>
                <w:szCs w:val="21"/>
              </w:rPr>
              <w:t>不限生源）、国外应届毕业生（北京生源）、</w:t>
            </w:r>
            <w:r>
              <w:rPr>
                <w:rFonts w:ascii="Times New Roman" w:hAnsi="Times New Roman" w:eastAsia="仿宋_GB2312"/>
                <w:szCs w:val="21"/>
              </w:rPr>
              <w:t>社会在职人员</w:t>
            </w:r>
          </w:p>
        </w:tc>
        <w:tc>
          <w:tcPr>
            <w:tcW w:w="1985" w:type="dxa"/>
            <w:gridSpan w:val="2"/>
            <w:vAlign w:val="center"/>
          </w:tcPr>
          <w:p>
            <w:pPr>
              <w:widowControl/>
              <w:adjustRightInd w:val="0"/>
              <w:spacing w:line="240" w:lineRule="atLeast"/>
              <w:rPr>
                <w:rFonts w:ascii="Times New Roman" w:hAnsi="Times New Roman" w:eastAsia="仿宋_GB2312"/>
                <w:szCs w:val="21"/>
              </w:rPr>
            </w:pPr>
            <w:r>
              <w:rPr>
                <w:rFonts w:hint="eastAsia" w:ascii="Times New Roman" w:hAnsi="Times New Roman" w:eastAsia="仿宋_GB2312"/>
                <w:szCs w:val="21"/>
              </w:rPr>
              <w:t>社会在职人员应具备在党政机关、国有企事业单位，或其他金融机构从事文字综合工作2年及以上工作经历。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231" w:hRule="atLeast"/>
          <w:jc w:val="center"/>
        </w:trPr>
        <w:tc>
          <w:tcPr>
            <w:tcW w:w="510" w:type="dxa"/>
            <w:tcBorders>
              <w:top w:val="single" w:color="auto" w:sz="4" w:space="0"/>
              <w:left w:val="single" w:color="auto" w:sz="4" w:space="0"/>
              <w:bottom w:val="single" w:color="auto" w:sz="4" w:space="0"/>
            </w:tcBorders>
            <w:vAlign w:val="center"/>
          </w:tcPr>
          <w:p>
            <w:pPr>
              <w:adjustRightInd w:val="0"/>
              <w:spacing w:line="240" w:lineRule="atLeast"/>
              <w:jc w:val="center"/>
              <w:rPr>
                <w:rFonts w:ascii="Times New Roman" w:hAnsi="Times New Roman" w:eastAsia="仿宋_GB2312"/>
                <w:bCs/>
                <w:sz w:val="24"/>
                <w:szCs w:val="24"/>
              </w:rPr>
            </w:pPr>
            <w:r>
              <w:rPr>
                <w:rFonts w:hint="eastAsia" w:ascii="Times New Roman" w:hAnsi="Times New Roman" w:eastAsia="仿宋_GB2312"/>
                <w:bCs/>
                <w:sz w:val="24"/>
                <w:szCs w:val="24"/>
              </w:rPr>
              <w:t>2</w:t>
            </w:r>
          </w:p>
        </w:tc>
        <w:tc>
          <w:tcPr>
            <w:tcW w:w="985" w:type="dxa"/>
            <w:vMerge w:val="continue"/>
            <w:tcBorders>
              <w:bottom w:val="single" w:color="auto" w:sz="4" w:space="0"/>
            </w:tcBorders>
            <w:vAlign w:val="center"/>
          </w:tcPr>
          <w:p>
            <w:pPr>
              <w:widowControl/>
              <w:adjustRightInd w:val="0"/>
              <w:spacing w:line="240" w:lineRule="atLeast"/>
              <w:jc w:val="center"/>
              <w:rPr>
                <w:rFonts w:ascii="Times New Roman" w:hAnsi="Times New Roman" w:eastAsia="仿宋_GB2312"/>
                <w:szCs w:val="21"/>
              </w:rPr>
            </w:pPr>
          </w:p>
        </w:tc>
        <w:tc>
          <w:tcPr>
            <w:tcW w:w="794" w:type="dxa"/>
            <w:gridSpan w:val="2"/>
            <w:tcBorders>
              <w:top w:val="single" w:color="auto" w:sz="4" w:space="0"/>
              <w:bottom w:val="single" w:color="auto" w:sz="4" w:space="0"/>
              <w:right w:val="single" w:color="auto" w:sz="4" w:space="0"/>
            </w:tcBorders>
            <w:vAlign w:val="center"/>
          </w:tcPr>
          <w:p>
            <w:pPr>
              <w:widowControl/>
              <w:adjustRightInd w:val="0"/>
              <w:spacing w:line="240" w:lineRule="atLeast"/>
              <w:jc w:val="center"/>
              <w:rPr>
                <w:rFonts w:ascii="Times New Roman" w:hAnsi="Times New Roman" w:eastAsia="仿宋_GB2312"/>
                <w:szCs w:val="21"/>
              </w:rPr>
            </w:pPr>
            <w:r>
              <w:rPr>
                <w:rFonts w:ascii="Times New Roman" w:hAnsi="Times New Roman" w:eastAsia="仿宋_GB2312"/>
                <w:szCs w:val="21"/>
              </w:rPr>
              <w:t>综合二岗</w:t>
            </w:r>
          </w:p>
        </w:tc>
        <w:tc>
          <w:tcPr>
            <w:tcW w:w="1866"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主要从事</w:t>
            </w:r>
            <w:r>
              <w:rPr>
                <w:rFonts w:ascii="Times New Roman" w:hAnsi="Times New Roman" w:eastAsia="仿宋_GB2312"/>
                <w:szCs w:val="21"/>
              </w:rPr>
              <w:t>文稿起草、综合管理、文秘管理等工作</w:t>
            </w:r>
          </w:p>
        </w:tc>
        <w:tc>
          <w:tcPr>
            <w:tcW w:w="733"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1</w:t>
            </w:r>
          </w:p>
        </w:tc>
        <w:tc>
          <w:tcPr>
            <w:tcW w:w="662"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中共党员</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硕士研究生及以上</w:t>
            </w:r>
          </w:p>
        </w:tc>
        <w:tc>
          <w:tcPr>
            <w:tcW w:w="361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Times New Roman" w:hAnsi="Times New Roman" w:eastAsia="仿宋_GB2312"/>
                <w:kern w:val="0"/>
                <w:szCs w:val="21"/>
              </w:rPr>
            </w:pPr>
            <w:r>
              <w:rPr>
                <w:rFonts w:hint="eastAsia" w:ascii="Times New Roman" w:hAnsi="Times New Roman" w:eastAsia="仿宋_GB2312"/>
                <w:kern w:val="0"/>
                <w:szCs w:val="21"/>
              </w:rPr>
              <w:t>经济学（02）、法学（0301）、政治学（0302）、社会学（0303）、法律（0351）、中国语言文学（0501）、新闻传播学（0503）、工商管理学（1202）、公共管理学（1204）</w:t>
            </w:r>
          </w:p>
        </w:tc>
        <w:tc>
          <w:tcPr>
            <w:tcW w:w="182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国内应届毕业生（</w:t>
            </w:r>
            <w:r>
              <w:rPr>
                <w:rFonts w:hint="eastAsia" w:ascii="Times New Roman" w:hAnsi="Times New Roman" w:eastAsia="仿宋_GB2312"/>
                <w:szCs w:val="21"/>
              </w:rPr>
              <w:t>北京生源）、国外应届毕业生（北京生源）、</w:t>
            </w:r>
            <w:r>
              <w:rPr>
                <w:rFonts w:ascii="Times New Roman" w:hAnsi="Times New Roman" w:eastAsia="仿宋_GB2312"/>
                <w:szCs w:val="21"/>
              </w:rPr>
              <w:t>社会在职人员</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Times New Roman" w:hAnsi="Times New Roman" w:eastAsia="仿宋_GB2312"/>
                <w:szCs w:val="21"/>
              </w:rPr>
            </w:pPr>
            <w:r>
              <w:rPr>
                <w:rFonts w:hint="eastAsia" w:ascii="Times New Roman" w:hAnsi="Times New Roman" w:eastAsia="仿宋_GB2312"/>
                <w:szCs w:val="21"/>
              </w:rPr>
              <w:t>社会在职人员应具备在党政机关、国有企事业单位，或其他金融机构从事文字综合工作2年及以上工作经历。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510" w:type="dxa"/>
            <w:vAlign w:val="center"/>
          </w:tcPr>
          <w:p>
            <w:pPr>
              <w:adjustRightInd w:val="0"/>
              <w:spacing w:line="240" w:lineRule="atLeast"/>
              <w:jc w:val="center"/>
              <w:rPr>
                <w:rFonts w:ascii="Times New Roman" w:hAnsi="Times New Roman" w:eastAsia="仿宋_GB2312"/>
                <w:bCs/>
                <w:sz w:val="24"/>
                <w:szCs w:val="24"/>
              </w:rPr>
            </w:pPr>
            <w:r>
              <w:rPr>
                <w:rFonts w:ascii="Times New Roman" w:hAnsi="Times New Roman" w:eastAsia="仿宋_GB2312"/>
                <w:bCs/>
                <w:sz w:val="24"/>
                <w:szCs w:val="24"/>
              </w:rPr>
              <w:t>3</w:t>
            </w:r>
          </w:p>
        </w:tc>
        <w:tc>
          <w:tcPr>
            <w:tcW w:w="1047" w:type="dxa"/>
            <w:gridSpan w:val="2"/>
            <w:vAlign w:val="center"/>
          </w:tcPr>
          <w:p>
            <w:pPr>
              <w:widowControl/>
              <w:adjustRightInd w:val="0"/>
              <w:spacing w:line="240" w:lineRule="atLeast"/>
              <w:jc w:val="center"/>
              <w:rPr>
                <w:rFonts w:ascii="Times New Roman" w:hAnsi="Times New Roman" w:eastAsia="仿宋_GB2312"/>
                <w:szCs w:val="21"/>
              </w:rPr>
            </w:pPr>
            <w:r>
              <w:rPr>
                <w:rFonts w:ascii="Times New Roman" w:hAnsi="Times New Roman" w:eastAsia="仿宋_GB2312"/>
                <w:szCs w:val="21"/>
              </w:rPr>
              <w:t>规划研究部</w:t>
            </w:r>
          </w:p>
        </w:tc>
        <w:tc>
          <w:tcPr>
            <w:tcW w:w="794" w:type="dxa"/>
            <w:gridSpan w:val="2"/>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资产配置</w:t>
            </w:r>
            <w:r>
              <w:rPr>
                <w:rFonts w:ascii="Times New Roman" w:hAnsi="Times New Roman" w:eastAsia="仿宋_GB2312"/>
                <w:szCs w:val="21"/>
              </w:rPr>
              <w:t>与投研岗</w:t>
            </w:r>
          </w:p>
        </w:tc>
        <w:tc>
          <w:tcPr>
            <w:tcW w:w="1843" w:type="dxa"/>
            <w:gridSpan w:val="2"/>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主要从事基金中长期规划编制、基金大类资产配置及相关投资研究工作</w:t>
            </w:r>
          </w:p>
        </w:tc>
        <w:tc>
          <w:tcPr>
            <w:tcW w:w="709" w:type="dxa"/>
            <w:gridSpan w:val="2"/>
            <w:vAlign w:val="center"/>
          </w:tcPr>
          <w:p>
            <w:pPr>
              <w:adjustRightInd w:val="0"/>
              <w:spacing w:line="240" w:lineRule="atLeast"/>
              <w:jc w:val="center"/>
              <w:rPr>
                <w:rFonts w:ascii="Times New Roman" w:hAnsi="Times New Roman" w:eastAsia="仿宋_GB2312"/>
                <w:szCs w:val="21"/>
              </w:rPr>
            </w:pPr>
            <w:r>
              <w:rPr>
                <w:rFonts w:ascii="Times New Roman" w:hAnsi="Times New Roman" w:eastAsia="仿宋_GB2312"/>
                <w:szCs w:val="21"/>
              </w:rPr>
              <w:t>1</w:t>
            </w:r>
          </w:p>
        </w:tc>
        <w:tc>
          <w:tcPr>
            <w:tcW w:w="709" w:type="dxa"/>
            <w:gridSpan w:val="2"/>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不限</w:t>
            </w:r>
          </w:p>
        </w:tc>
        <w:tc>
          <w:tcPr>
            <w:tcW w:w="1134" w:type="dxa"/>
            <w:gridSpan w:val="2"/>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硕士研究生及以上</w:t>
            </w:r>
          </w:p>
        </w:tc>
        <w:tc>
          <w:tcPr>
            <w:tcW w:w="3912" w:type="dxa"/>
            <w:gridSpan w:val="2"/>
            <w:vAlign w:val="center"/>
          </w:tcPr>
          <w:p>
            <w:pPr>
              <w:widowControl/>
              <w:adjustRightInd w:val="0"/>
              <w:spacing w:line="240" w:lineRule="atLeast"/>
              <w:rPr>
                <w:rFonts w:ascii="Times New Roman" w:hAnsi="Times New Roman" w:eastAsia="仿宋_GB2312"/>
                <w:kern w:val="0"/>
                <w:szCs w:val="21"/>
              </w:rPr>
            </w:pPr>
            <w:r>
              <w:rPr>
                <w:rFonts w:hint="eastAsia" w:ascii="Times New Roman" w:hAnsi="Times New Roman" w:eastAsia="仿宋_GB2312"/>
                <w:kern w:val="0"/>
                <w:szCs w:val="21"/>
              </w:rPr>
              <w:t>理论经济学（0201）、应用经济学（0202）、金融（0251）、管理科学与工程（1201）、工商管理（1251）、公共管理（1252）</w:t>
            </w:r>
          </w:p>
        </w:tc>
        <w:tc>
          <w:tcPr>
            <w:tcW w:w="1531" w:type="dxa"/>
            <w:gridSpan w:val="2"/>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国内应届毕业生（</w:t>
            </w:r>
            <w:r>
              <w:rPr>
                <w:rFonts w:hint="eastAsia" w:ascii="Times New Roman" w:hAnsi="Times New Roman" w:eastAsia="仿宋_GB2312"/>
                <w:szCs w:val="21"/>
              </w:rPr>
              <w:t>不限生源）、国外应届毕业生（北京生源）</w:t>
            </w:r>
          </w:p>
        </w:tc>
        <w:tc>
          <w:tcPr>
            <w:tcW w:w="1962" w:type="dxa"/>
            <w:gridSpan w:val="2"/>
            <w:vAlign w:val="center"/>
          </w:tcPr>
          <w:p>
            <w:pPr>
              <w:widowControl/>
              <w:adjustRightInd w:val="0"/>
              <w:spacing w:line="240" w:lineRule="atLeast"/>
              <w:rPr>
                <w:rFonts w:ascii="Times New Roman" w:hAnsi="Times New Roman" w:eastAsia="仿宋_GB2312"/>
                <w:szCs w:val="21"/>
              </w:rPr>
            </w:pPr>
            <w:r>
              <w:rPr>
                <w:rFonts w:ascii="Times New Roman" w:hAnsi="Times New Roman" w:eastAsia="仿宋_GB2312"/>
                <w:szCs w:val="21"/>
              </w:rPr>
              <w:t>英语六级550</w:t>
            </w:r>
            <w:r>
              <w:rPr>
                <w:rFonts w:hint="eastAsia" w:ascii="Times New Roman" w:hAnsi="Times New Roman" w:eastAsia="仿宋_GB2312"/>
                <w:szCs w:val="21"/>
              </w:rPr>
              <w:t>分</w:t>
            </w:r>
            <w:r>
              <w:rPr>
                <w:rFonts w:ascii="Times New Roman" w:hAnsi="Times New Roman" w:eastAsia="仿宋_GB2312"/>
                <w:szCs w:val="21"/>
              </w:rPr>
              <w:t>或雅思6.5</w:t>
            </w:r>
            <w:r>
              <w:rPr>
                <w:rFonts w:hint="eastAsia" w:ascii="Times New Roman" w:hAnsi="Times New Roman" w:eastAsia="仿宋_GB2312"/>
                <w:szCs w:val="21"/>
              </w:rPr>
              <w:t>分</w:t>
            </w:r>
            <w:r>
              <w:rPr>
                <w:rFonts w:ascii="Times New Roman" w:hAnsi="Times New Roman" w:eastAsia="仿宋_GB2312"/>
                <w:szCs w:val="21"/>
              </w:rPr>
              <w:t>或托福</w:t>
            </w:r>
            <w:r>
              <w:rPr>
                <w:rFonts w:hint="eastAsia" w:ascii="Times New Roman" w:hAnsi="Times New Roman" w:eastAsia="仿宋_GB2312"/>
                <w:szCs w:val="21"/>
              </w:rPr>
              <w:t>90分</w:t>
            </w:r>
            <w:r>
              <w:rPr>
                <w:rFonts w:ascii="Times New Roman" w:hAnsi="Times New Roman" w:eastAsia="仿宋_GB2312"/>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510" w:type="dxa"/>
            <w:vAlign w:val="center"/>
          </w:tcPr>
          <w:p>
            <w:pPr>
              <w:adjustRightInd w:val="0"/>
              <w:spacing w:line="240" w:lineRule="atLeast"/>
              <w:jc w:val="center"/>
              <w:rPr>
                <w:rFonts w:ascii="Times New Roman" w:hAnsi="Times New Roman" w:eastAsia="仿宋_GB2312"/>
                <w:bCs/>
                <w:sz w:val="24"/>
                <w:szCs w:val="24"/>
              </w:rPr>
            </w:pPr>
            <w:r>
              <w:rPr>
                <w:rFonts w:ascii="Times New Roman" w:hAnsi="Times New Roman" w:eastAsia="仿宋_GB2312"/>
                <w:bCs/>
                <w:sz w:val="24"/>
                <w:szCs w:val="24"/>
              </w:rPr>
              <w:t>4</w:t>
            </w:r>
          </w:p>
        </w:tc>
        <w:tc>
          <w:tcPr>
            <w:tcW w:w="1047" w:type="dxa"/>
            <w:gridSpan w:val="2"/>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基金财务部</w:t>
            </w:r>
          </w:p>
        </w:tc>
        <w:tc>
          <w:tcPr>
            <w:tcW w:w="794" w:type="dxa"/>
            <w:gridSpan w:val="2"/>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会计岗</w:t>
            </w:r>
          </w:p>
        </w:tc>
        <w:tc>
          <w:tcPr>
            <w:tcW w:w="1843" w:type="dxa"/>
            <w:gridSpan w:val="2"/>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主要从事基金相关财务会计等工作</w:t>
            </w:r>
          </w:p>
        </w:tc>
        <w:tc>
          <w:tcPr>
            <w:tcW w:w="709" w:type="dxa"/>
            <w:gridSpan w:val="2"/>
            <w:vAlign w:val="center"/>
          </w:tcPr>
          <w:p>
            <w:pPr>
              <w:adjustRightInd w:val="0"/>
              <w:spacing w:line="240" w:lineRule="atLeast"/>
              <w:jc w:val="center"/>
              <w:rPr>
                <w:rFonts w:ascii="Times New Roman" w:hAnsi="Times New Roman" w:eastAsia="仿宋_GB2312"/>
                <w:szCs w:val="21"/>
              </w:rPr>
            </w:pPr>
            <w:r>
              <w:rPr>
                <w:rFonts w:ascii="Times New Roman" w:hAnsi="Times New Roman" w:eastAsia="仿宋_GB2312"/>
                <w:szCs w:val="21"/>
              </w:rPr>
              <w:t>1</w:t>
            </w:r>
          </w:p>
        </w:tc>
        <w:tc>
          <w:tcPr>
            <w:tcW w:w="709" w:type="dxa"/>
            <w:gridSpan w:val="2"/>
            <w:vAlign w:val="center"/>
          </w:tcPr>
          <w:p>
            <w:pPr>
              <w:adjustRightInd w:val="0"/>
              <w:spacing w:line="240" w:lineRule="atLeast"/>
              <w:jc w:val="center"/>
              <w:rPr>
                <w:rFonts w:ascii="Times New Roman" w:hAnsi="Times New Roman" w:eastAsia="仿宋_GB2312"/>
                <w:bCs/>
                <w:szCs w:val="21"/>
              </w:rPr>
            </w:pPr>
            <w:r>
              <w:rPr>
                <w:rFonts w:hint="eastAsia" w:ascii="Times New Roman" w:hAnsi="Times New Roman" w:eastAsia="仿宋_GB2312"/>
                <w:bCs/>
                <w:szCs w:val="21"/>
              </w:rPr>
              <w:t>不限</w:t>
            </w:r>
          </w:p>
        </w:tc>
        <w:tc>
          <w:tcPr>
            <w:tcW w:w="1134" w:type="dxa"/>
            <w:gridSpan w:val="2"/>
            <w:vAlign w:val="center"/>
          </w:tcPr>
          <w:p>
            <w:pPr>
              <w:adjustRightInd w:val="0"/>
              <w:spacing w:line="240" w:lineRule="atLeast"/>
              <w:jc w:val="center"/>
              <w:rPr>
                <w:rFonts w:ascii="Times New Roman" w:hAnsi="Times New Roman" w:eastAsia="仿宋_GB2312"/>
                <w:bCs/>
                <w:szCs w:val="21"/>
              </w:rPr>
            </w:pPr>
            <w:r>
              <w:rPr>
                <w:rFonts w:hint="eastAsia" w:ascii="Times New Roman" w:hAnsi="Times New Roman" w:eastAsia="仿宋_GB2312"/>
                <w:bCs/>
                <w:szCs w:val="21"/>
              </w:rPr>
              <w:t>硕士研究生及以上</w:t>
            </w:r>
          </w:p>
        </w:tc>
        <w:tc>
          <w:tcPr>
            <w:tcW w:w="3912" w:type="dxa"/>
            <w:gridSpan w:val="2"/>
            <w:vAlign w:val="center"/>
          </w:tcPr>
          <w:p>
            <w:pPr>
              <w:widowControl/>
              <w:adjustRightInd w:val="0"/>
              <w:spacing w:line="240" w:lineRule="atLeast"/>
              <w:rPr>
                <w:rFonts w:ascii="Times New Roman" w:hAnsi="Times New Roman" w:eastAsia="仿宋_GB2312"/>
                <w:kern w:val="0"/>
                <w:szCs w:val="21"/>
              </w:rPr>
            </w:pPr>
            <w:r>
              <w:rPr>
                <w:rFonts w:hint="eastAsia" w:ascii="Times New Roman" w:hAnsi="Times New Roman" w:eastAsia="仿宋_GB2312"/>
                <w:kern w:val="0"/>
                <w:szCs w:val="21"/>
              </w:rPr>
              <w:t>会计学（120201）、会计（1253）、审计（1257）</w:t>
            </w:r>
          </w:p>
        </w:tc>
        <w:tc>
          <w:tcPr>
            <w:tcW w:w="1531" w:type="dxa"/>
            <w:gridSpan w:val="2"/>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国内应届毕业生（</w:t>
            </w:r>
            <w:r>
              <w:rPr>
                <w:rFonts w:hint="eastAsia" w:ascii="Times New Roman" w:hAnsi="Times New Roman" w:eastAsia="仿宋_GB2312"/>
                <w:szCs w:val="21"/>
              </w:rPr>
              <w:t>不限生源）、国外应届毕业生（北京生源）、</w:t>
            </w:r>
            <w:r>
              <w:rPr>
                <w:rFonts w:ascii="Times New Roman" w:hAnsi="Times New Roman" w:eastAsia="仿宋_GB2312"/>
                <w:szCs w:val="21"/>
              </w:rPr>
              <w:t>社会在职人员</w:t>
            </w:r>
          </w:p>
        </w:tc>
        <w:tc>
          <w:tcPr>
            <w:tcW w:w="1962" w:type="dxa"/>
            <w:gridSpan w:val="2"/>
            <w:vAlign w:val="center"/>
          </w:tcPr>
          <w:p>
            <w:pPr>
              <w:widowControl/>
              <w:adjustRightInd w:val="0"/>
              <w:spacing w:line="240" w:lineRule="atLeast"/>
              <w:rPr>
                <w:rFonts w:ascii="Times New Roman" w:hAnsi="Times New Roman" w:eastAsia="仿宋_GB2312"/>
                <w:szCs w:val="21"/>
              </w:rPr>
            </w:pPr>
            <w:r>
              <w:rPr>
                <w:rFonts w:hint="eastAsia" w:ascii="Times New Roman" w:hAnsi="Times New Roman" w:eastAsia="仿宋_GB2312"/>
                <w:szCs w:val="21"/>
              </w:rPr>
              <w:t>社会在职人员需有在金融、投资等行业2年以上会计相关工作经历。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510" w:type="dxa"/>
            <w:vAlign w:val="center"/>
          </w:tcPr>
          <w:p>
            <w:pPr>
              <w:adjustRightInd w:val="0"/>
              <w:spacing w:line="240" w:lineRule="atLeast"/>
              <w:jc w:val="center"/>
              <w:rPr>
                <w:rFonts w:ascii="Times New Roman" w:hAnsi="Times New Roman" w:eastAsia="仿宋_GB2312"/>
                <w:bCs/>
                <w:sz w:val="24"/>
                <w:szCs w:val="24"/>
              </w:rPr>
            </w:pPr>
            <w:r>
              <w:rPr>
                <w:rFonts w:ascii="Times New Roman" w:hAnsi="Times New Roman" w:eastAsia="仿宋_GB2312"/>
                <w:bCs/>
                <w:sz w:val="24"/>
                <w:szCs w:val="24"/>
              </w:rPr>
              <w:t>5</w:t>
            </w:r>
          </w:p>
        </w:tc>
        <w:tc>
          <w:tcPr>
            <w:tcW w:w="1047" w:type="dxa"/>
            <w:gridSpan w:val="2"/>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股票投资部</w:t>
            </w:r>
          </w:p>
        </w:tc>
        <w:tc>
          <w:tcPr>
            <w:tcW w:w="794" w:type="dxa"/>
            <w:gridSpan w:val="2"/>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股票投资</w:t>
            </w:r>
            <w:r>
              <w:rPr>
                <w:rFonts w:ascii="Times New Roman" w:hAnsi="Times New Roman" w:eastAsia="仿宋_GB2312"/>
                <w:szCs w:val="21"/>
              </w:rPr>
              <w:t>岗</w:t>
            </w:r>
          </w:p>
        </w:tc>
        <w:tc>
          <w:tcPr>
            <w:tcW w:w="1843" w:type="dxa"/>
            <w:gridSpan w:val="2"/>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主要从事运用量化工具分析委托投资组合，优化股票投资管理，完成交易及其他综合性工作</w:t>
            </w:r>
          </w:p>
        </w:tc>
        <w:tc>
          <w:tcPr>
            <w:tcW w:w="709" w:type="dxa"/>
            <w:gridSpan w:val="2"/>
            <w:vAlign w:val="center"/>
          </w:tcPr>
          <w:p>
            <w:pPr>
              <w:adjustRightInd w:val="0"/>
              <w:spacing w:line="240" w:lineRule="atLeast"/>
              <w:jc w:val="center"/>
              <w:rPr>
                <w:rFonts w:ascii="Times New Roman" w:hAnsi="Times New Roman" w:eastAsia="仿宋_GB2312"/>
                <w:szCs w:val="21"/>
              </w:rPr>
            </w:pPr>
            <w:r>
              <w:rPr>
                <w:rFonts w:ascii="Times New Roman" w:hAnsi="Times New Roman" w:eastAsia="仿宋_GB2312"/>
                <w:szCs w:val="21"/>
              </w:rPr>
              <w:t>1</w:t>
            </w:r>
          </w:p>
        </w:tc>
        <w:tc>
          <w:tcPr>
            <w:tcW w:w="709" w:type="dxa"/>
            <w:gridSpan w:val="2"/>
            <w:vAlign w:val="center"/>
          </w:tcPr>
          <w:p>
            <w:pPr>
              <w:adjustRightInd w:val="0"/>
              <w:spacing w:line="240" w:lineRule="atLeast"/>
              <w:jc w:val="center"/>
              <w:rPr>
                <w:rFonts w:ascii="Times New Roman" w:hAnsi="Times New Roman" w:eastAsia="仿宋_GB2312"/>
                <w:bCs/>
                <w:szCs w:val="21"/>
              </w:rPr>
            </w:pPr>
            <w:r>
              <w:rPr>
                <w:rFonts w:hint="eastAsia" w:ascii="Times New Roman" w:hAnsi="Times New Roman" w:eastAsia="仿宋_GB2312"/>
                <w:bCs/>
                <w:szCs w:val="21"/>
              </w:rPr>
              <w:t>不限</w:t>
            </w:r>
          </w:p>
        </w:tc>
        <w:tc>
          <w:tcPr>
            <w:tcW w:w="1134" w:type="dxa"/>
            <w:gridSpan w:val="2"/>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硕士研究生及以上</w:t>
            </w:r>
          </w:p>
        </w:tc>
        <w:tc>
          <w:tcPr>
            <w:tcW w:w="3912" w:type="dxa"/>
            <w:gridSpan w:val="2"/>
            <w:vAlign w:val="center"/>
          </w:tcPr>
          <w:p>
            <w:pPr>
              <w:widowControl/>
              <w:adjustRightInd w:val="0"/>
              <w:spacing w:line="240" w:lineRule="atLeast"/>
              <w:rPr>
                <w:rFonts w:ascii="Times New Roman" w:hAnsi="Times New Roman" w:eastAsia="仿宋_GB2312"/>
                <w:kern w:val="0"/>
                <w:szCs w:val="21"/>
              </w:rPr>
            </w:pPr>
            <w:r>
              <w:rPr>
                <w:rFonts w:hint="eastAsia" w:ascii="Times New Roman" w:hAnsi="Times New Roman" w:eastAsia="仿宋_GB2312"/>
                <w:kern w:val="0"/>
                <w:szCs w:val="21"/>
              </w:rPr>
              <w:t>应用经济学（需金融工程方向，0202）、统计学（020208）、数量经济学（020209）、应用统计（0252）、概率论与数理统计（070103）、应用数学（070104）、统计学（需经济学学位，0714）</w:t>
            </w:r>
          </w:p>
        </w:tc>
        <w:tc>
          <w:tcPr>
            <w:tcW w:w="1531" w:type="dxa"/>
            <w:gridSpan w:val="2"/>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国内应届毕业生（</w:t>
            </w:r>
            <w:r>
              <w:rPr>
                <w:rFonts w:hint="eastAsia" w:ascii="Times New Roman" w:hAnsi="Times New Roman" w:eastAsia="仿宋_GB2312"/>
                <w:szCs w:val="21"/>
              </w:rPr>
              <w:t>不限生源）、国外应届毕业生（北京生源）、</w:t>
            </w:r>
            <w:r>
              <w:rPr>
                <w:rFonts w:ascii="Times New Roman" w:hAnsi="Times New Roman" w:eastAsia="仿宋_GB2312"/>
                <w:szCs w:val="21"/>
              </w:rPr>
              <w:t>社会在职人员</w:t>
            </w:r>
          </w:p>
        </w:tc>
        <w:tc>
          <w:tcPr>
            <w:tcW w:w="1962" w:type="dxa"/>
            <w:gridSpan w:val="2"/>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1.</w:t>
            </w:r>
            <w:r>
              <w:rPr>
                <w:rFonts w:hint="eastAsia" w:ascii="Times New Roman" w:hAnsi="Times New Roman" w:eastAsia="仿宋_GB2312"/>
                <w:szCs w:val="21"/>
              </w:rPr>
              <w:t xml:space="preserve"> 熟练掌握金融数据分析、编程（如</w:t>
            </w:r>
            <w:r>
              <w:rPr>
                <w:rFonts w:ascii="Times New Roman" w:hAnsi="Times New Roman" w:eastAsia="仿宋_GB2312"/>
                <w:szCs w:val="21"/>
              </w:rPr>
              <w:t>Python</w:t>
            </w:r>
            <w:r>
              <w:rPr>
                <w:rFonts w:hint="eastAsia" w:ascii="Times New Roman" w:hAnsi="Times New Roman" w:eastAsia="仿宋_GB2312"/>
                <w:szCs w:val="21"/>
              </w:rPr>
              <w:t>、</w:t>
            </w:r>
            <w:r>
              <w:rPr>
                <w:rFonts w:ascii="Times New Roman" w:hAnsi="Times New Roman" w:eastAsia="仿宋_GB2312"/>
                <w:szCs w:val="21"/>
              </w:rPr>
              <w:t>C++</w:t>
            </w:r>
            <w:r>
              <w:rPr>
                <w:rFonts w:hint="eastAsia" w:ascii="Times New Roman" w:hAnsi="Times New Roman" w:eastAsia="仿宋_GB2312"/>
                <w:szCs w:val="21"/>
              </w:rPr>
              <w:t>等）及归因分析等技能；</w:t>
            </w:r>
          </w:p>
          <w:p>
            <w:pPr>
              <w:widowControl/>
              <w:adjustRightInd w:val="0"/>
              <w:spacing w:line="240" w:lineRule="atLeast"/>
              <w:rPr>
                <w:rFonts w:ascii="Times New Roman" w:hAnsi="Times New Roman" w:eastAsia="仿宋_GB2312"/>
                <w:szCs w:val="21"/>
              </w:rPr>
            </w:pPr>
            <w:r>
              <w:rPr>
                <w:rFonts w:hint="eastAsia" w:ascii="Times New Roman" w:hAnsi="Times New Roman" w:eastAsia="仿宋_GB2312"/>
                <w:szCs w:val="21"/>
              </w:rPr>
              <w:t>2. 同等条件下，具有证券公司、资产管理公司等金融机构量化研究或量化投资实习或工作经验者优先。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10" w:type="dxa"/>
            <w:vAlign w:val="center"/>
          </w:tcPr>
          <w:p>
            <w:pPr>
              <w:adjustRightInd w:val="0"/>
              <w:spacing w:line="240" w:lineRule="atLeast"/>
              <w:jc w:val="center"/>
              <w:rPr>
                <w:rFonts w:ascii="Times New Roman" w:hAnsi="Times New Roman" w:eastAsia="仿宋_GB2312"/>
                <w:bCs/>
                <w:sz w:val="24"/>
                <w:szCs w:val="24"/>
              </w:rPr>
            </w:pPr>
            <w:r>
              <w:rPr>
                <w:rFonts w:ascii="Times New Roman" w:hAnsi="Times New Roman" w:eastAsia="仿宋_GB2312"/>
                <w:bCs/>
                <w:sz w:val="24"/>
                <w:szCs w:val="24"/>
              </w:rPr>
              <w:t>6</w:t>
            </w:r>
          </w:p>
        </w:tc>
        <w:tc>
          <w:tcPr>
            <w:tcW w:w="1047" w:type="dxa"/>
            <w:gridSpan w:val="2"/>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固定收益投资部</w:t>
            </w:r>
          </w:p>
        </w:tc>
        <w:tc>
          <w:tcPr>
            <w:tcW w:w="794" w:type="dxa"/>
            <w:gridSpan w:val="2"/>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固定收益</w:t>
            </w:r>
          </w:p>
          <w:p>
            <w:pPr>
              <w:widowControl/>
              <w:adjustRightInd w:val="0"/>
              <w:spacing w:line="240" w:lineRule="atLeast"/>
              <w:jc w:val="center"/>
              <w:rPr>
                <w:rFonts w:ascii="Times New Roman" w:hAnsi="Times New Roman" w:eastAsia="仿宋_GB2312"/>
                <w:szCs w:val="21"/>
              </w:rPr>
            </w:pPr>
            <w:r>
              <w:rPr>
                <w:rFonts w:ascii="Times New Roman" w:hAnsi="Times New Roman" w:eastAsia="仿宋_GB2312"/>
                <w:szCs w:val="21"/>
              </w:rPr>
              <w:t>投资岗</w:t>
            </w:r>
          </w:p>
        </w:tc>
        <w:tc>
          <w:tcPr>
            <w:tcW w:w="1843" w:type="dxa"/>
            <w:gridSpan w:val="2"/>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主要从事固定收益类资产投资管理相关工作</w:t>
            </w:r>
          </w:p>
        </w:tc>
        <w:tc>
          <w:tcPr>
            <w:tcW w:w="709" w:type="dxa"/>
            <w:gridSpan w:val="2"/>
            <w:vAlign w:val="center"/>
          </w:tcPr>
          <w:p>
            <w:pPr>
              <w:adjustRightInd w:val="0"/>
              <w:spacing w:line="240" w:lineRule="atLeast"/>
              <w:jc w:val="center"/>
              <w:rPr>
                <w:rFonts w:ascii="Times New Roman" w:hAnsi="Times New Roman" w:eastAsia="仿宋_GB2312"/>
                <w:szCs w:val="21"/>
              </w:rPr>
            </w:pPr>
            <w:r>
              <w:rPr>
                <w:rFonts w:ascii="Times New Roman" w:hAnsi="Times New Roman" w:eastAsia="仿宋_GB2312"/>
                <w:szCs w:val="21"/>
              </w:rPr>
              <w:t>1</w:t>
            </w:r>
          </w:p>
        </w:tc>
        <w:tc>
          <w:tcPr>
            <w:tcW w:w="709" w:type="dxa"/>
            <w:gridSpan w:val="2"/>
            <w:vAlign w:val="center"/>
          </w:tcPr>
          <w:p>
            <w:pPr>
              <w:adjustRightInd w:val="0"/>
              <w:spacing w:line="240" w:lineRule="atLeast"/>
              <w:jc w:val="center"/>
              <w:rPr>
                <w:rFonts w:ascii="Times New Roman" w:hAnsi="Times New Roman" w:eastAsia="仿宋_GB2312"/>
                <w:bCs/>
                <w:szCs w:val="21"/>
              </w:rPr>
            </w:pPr>
            <w:r>
              <w:rPr>
                <w:rFonts w:hint="eastAsia" w:ascii="Times New Roman" w:hAnsi="Times New Roman" w:eastAsia="仿宋_GB2312"/>
                <w:bCs/>
                <w:szCs w:val="21"/>
              </w:rPr>
              <w:t>不限</w:t>
            </w:r>
          </w:p>
        </w:tc>
        <w:tc>
          <w:tcPr>
            <w:tcW w:w="1134" w:type="dxa"/>
            <w:gridSpan w:val="2"/>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硕士研究生及以上</w:t>
            </w:r>
          </w:p>
        </w:tc>
        <w:tc>
          <w:tcPr>
            <w:tcW w:w="3912" w:type="dxa"/>
            <w:gridSpan w:val="2"/>
            <w:vAlign w:val="center"/>
          </w:tcPr>
          <w:p>
            <w:pPr>
              <w:widowControl/>
              <w:adjustRightInd w:val="0"/>
              <w:spacing w:line="240" w:lineRule="atLeast"/>
              <w:rPr>
                <w:rFonts w:ascii="Times New Roman" w:hAnsi="Times New Roman" w:eastAsia="仿宋_GB2312"/>
                <w:kern w:val="0"/>
                <w:szCs w:val="21"/>
              </w:rPr>
            </w:pPr>
            <w:r>
              <w:rPr>
                <w:rFonts w:hint="eastAsia" w:ascii="Times New Roman" w:hAnsi="Times New Roman" w:eastAsia="仿宋_GB2312"/>
                <w:kern w:val="0"/>
                <w:szCs w:val="21"/>
              </w:rPr>
              <w:t>经济史（020103）、西方经济学（020104）、世界经济（020105）、应用经济学（需金融工程方向，0202）、国民经济学（020201）、金融学（020204）、统计学（020208）、数量经济学（020209）、金融（0251）、应用统计（0252）</w:t>
            </w:r>
          </w:p>
        </w:tc>
        <w:tc>
          <w:tcPr>
            <w:tcW w:w="1531" w:type="dxa"/>
            <w:gridSpan w:val="2"/>
            <w:vAlign w:val="center"/>
          </w:tcPr>
          <w:p>
            <w:pPr>
              <w:adjustRightInd w:val="0"/>
              <w:spacing w:line="240" w:lineRule="atLeast"/>
              <w:rPr>
                <w:rFonts w:ascii="Times New Roman" w:hAnsi="Times New Roman" w:eastAsia="仿宋_GB2312"/>
                <w:kern w:val="0"/>
                <w:szCs w:val="21"/>
              </w:rPr>
            </w:pPr>
            <w:r>
              <w:rPr>
                <w:rFonts w:ascii="Times New Roman" w:hAnsi="Times New Roman" w:eastAsia="仿宋_GB2312"/>
                <w:szCs w:val="21"/>
              </w:rPr>
              <w:t>国内应届毕业生（</w:t>
            </w:r>
            <w:r>
              <w:rPr>
                <w:rFonts w:hint="eastAsia" w:ascii="Times New Roman" w:hAnsi="Times New Roman" w:eastAsia="仿宋_GB2312"/>
                <w:szCs w:val="21"/>
              </w:rPr>
              <w:t>不限生源）、国外应届毕业生（北京生源）、</w:t>
            </w:r>
            <w:r>
              <w:rPr>
                <w:rFonts w:ascii="Times New Roman" w:hAnsi="Times New Roman" w:eastAsia="仿宋_GB2312"/>
                <w:szCs w:val="21"/>
              </w:rPr>
              <w:t>社会在职人员</w:t>
            </w:r>
          </w:p>
        </w:tc>
        <w:tc>
          <w:tcPr>
            <w:tcW w:w="1962" w:type="dxa"/>
            <w:gridSpan w:val="2"/>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英语六级5</w:t>
            </w:r>
            <w:r>
              <w:rPr>
                <w:rFonts w:hint="eastAsia" w:ascii="Times New Roman" w:hAnsi="Times New Roman" w:eastAsia="仿宋_GB2312"/>
                <w:szCs w:val="21"/>
              </w:rPr>
              <w:t>7</w:t>
            </w:r>
            <w:r>
              <w:rPr>
                <w:rFonts w:ascii="Times New Roman" w:hAnsi="Times New Roman" w:eastAsia="仿宋_GB2312"/>
                <w:szCs w:val="21"/>
              </w:rPr>
              <w:t>0分</w:t>
            </w:r>
            <w:r>
              <w:rPr>
                <w:rFonts w:hint="eastAsia" w:ascii="Times New Roman" w:hAnsi="Times New Roman" w:eastAsia="仿宋_GB2312"/>
                <w:szCs w:val="21"/>
              </w:rPr>
              <w:t>或</w:t>
            </w:r>
            <w:r>
              <w:rPr>
                <w:rFonts w:ascii="Times New Roman" w:hAnsi="Times New Roman" w:eastAsia="仿宋_GB2312"/>
                <w:szCs w:val="21"/>
              </w:rPr>
              <w:t>雅思6.5</w:t>
            </w:r>
            <w:r>
              <w:rPr>
                <w:rFonts w:hint="eastAsia" w:ascii="Times New Roman" w:hAnsi="Times New Roman" w:eastAsia="仿宋_GB2312"/>
                <w:szCs w:val="21"/>
              </w:rPr>
              <w:t>分或托福100分</w:t>
            </w:r>
            <w:r>
              <w:rPr>
                <w:rFonts w:ascii="Times New Roman" w:hAnsi="Times New Roman" w:eastAsia="仿宋_GB2312"/>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 w:val="24"/>
                <w:szCs w:val="24"/>
              </w:rPr>
            </w:pPr>
            <w:r>
              <w:rPr>
                <w:rFonts w:ascii="Times New Roman" w:hAnsi="Times New Roman" w:eastAsia="仿宋_GB2312"/>
                <w:bCs/>
                <w:sz w:val="24"/>
                <w:szCs w:val="24"/>
              </w:rPr>
              <w:t>7</w:t>
            </w:r>
          </w:p>
        </w:tc>
        <w:tc>
          <w:tcPr>
            <w:tcW w:w="1047" w:type="dxa"/>
            <w:gridSpan w:val="2"/>
            <w:vMerge w:val="restart"/>
            <w:tcBorders>
              <w:top w:val="single" w:color="auto" w:sz="4" w:space="0"/>
              <w:left w:val="single" w:color="auto" w:sz="4" w:space="0"/>
              <w:right w:val="single" w:color="auto" w:sz="4" w:space="0"/>
            </w:tcBorders>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境外投资部</w:t>
            </w:r>
          </w:p>
        </w:tc>
        <w:tc>
          <w:tcPr>
            <w:tcW w:w="79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境外</w:t>
            </w:r>
            <w:r>
              <w:rPr>
                <w:rFonts w:ascii="Times New Roman" w:hAnsi="Times New Roman" w:eastAsia="仿宋_GB2312"/>
                <w:szCs w:val="21"/>
              </w:rPr>
              <w:t>投资</w:t>
            </w:r>
          </w:p>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一</w:t>
            </w:r>
            <w:r>
              <w:rPr>
                <w:rFonts w:ascii="Times New Roman" w:hAnsi="Times New Roman" w:eastAsia="仿宋_GB2312"/>
                <w:szCs w:val="21"/>
              </w:rPr>
              <w:t>岗</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主要从事境外股票、债券研究和投资相关工作</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szCs w:val="21"/>
              </w:rPr>
            </w:pPr>
            <w:r>
              <w:rPr>
                <w:rFonts w:ascii="Times New Roman" w:hAnsi="Times New Roman" w:eastAsia="仿宋_GB2312"/>
                <w:szCs w:val="21"/>
              </w:rPr>
              <w:t>1</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hint="eastAsia" w:ascii="Times New Roman" w:hAnsi="Times New Roman" w:eastAsia="仿宋_GB2312"/>
                <w:bCs/>
                <w:szCs w:val="21"/>
              </w:rPr>
              <w:t>不限</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硕士研究生及以上</w:t>
            </w:r>
          </w:p>
        </w:tc>
        <w:tc>
          <w:tcPr>
            <w:tcW w:w="391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Times New Roman" w:hAnsi="Times New Roman" w:eastAsia="仿宋_GB2312"/>
                <w:kern w:val="0"/>
                <w:szCs w:val="21"/>
              </w:rPr>
            </w:pPr>
            <w:r>
              <w:rPr>
                <w:rFonts w:hint="eastAsia" w:ascii="Times New Roman" w:hAnsi="Times New Roman" w:eastAsia="仿宋_GB2312"/>
                <w:kern w:val="0"/>
                <w:szCs w:val="21"/>
              </w:rPr>
              <w:t>西方经济学（020104）、世界经济（020105）、金融学（含保险学）（020204）、统计学（020208）、数量经济学（020209）、金融（0251）、应用统计（0252）</w:t>
            </w:r>
          </w:p>
        </w:tc>
        <w:tc>
          <w:tcPr>
            <w:tcW w:w="153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国内</w:t>
            </w:r>
            <w:r>
              <w:rPr>
                <w:rFonts w:ascii="Times New Roman" w:hAnsi="Times New Roman" w:eastAsia="仿宋_GB2312"/>
                <w:szCs w:val="21"/>
              </w:rPr>
              <w:t>应届毕业生（</w:t>
            </w:r>
            <w:r>
              <w:rPr>
                <w:rFonts w:hint="eastAsia" w:ascii="Times New Roman" w:hAnsi="Times New Roman" w:eastAsia="仿宋_GB2312"/>
                <w:szCs w:val="21"/>
              </w:rPr>
              <w:t>不限生源）、国外应届毕业生（北京生源）</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英语六级5</w:t>
            </w:r>
            <w:r>
              <w:rPr>
                <w:rFonts w:hint="eastAsia" w:ascii="Times New Roman" w:hAnsi="Times New Roman" w:eastAsia="仿宋_GB2312"/>
                <w:szCs w:val="21"/>
              </w:rPr>
              <w:t>8</w:t>
            </w:r>
            <w:r>
              <w:rPr>
                <w:rFonts w:ascii="Times New Roman" w:hAnsi="Times New Roman" w:eastAsia="仿宋_GB2312"/>
                <w:szCs w:val="21"/>
              </w:rPr>
              <w:t>0分或</w:t>
            </w:r>
            <w:r>
              <w:rPr>
                <w:rFonts w:hint="eastAsia" w:ascii="Times New Roman" w:hAnsi="Times New Roman" w:eastAsia="仿宋_GB2312"/>
                <w:szCs w:val="21"/>
              </w:rPr>
              <w:t>通过英语专业八级考试或</w:t>
            </w:r>
            <w:r>
              <w:rPr>
                <w:rFonts w:ascii="Times New Roman" w:hAnsi="Times New Roman" w:eastAsia="仿宋_GB2312"/>
                <w:szCs w:val="21"/>
              </w:rPr>
              <w:t>雅思</w:t>
            </w:r>
            <w:r>
              <w:rPr>
                <w:rFonts w:hint="eastAsia" w:ascii="Times New Roman" w:hAnsi="Times New Roman" w:eastAsia="仿宋_GB2312"/>
                <w:szCs w:val="21"/>
              </w:rPr>
              <w:t>7分</w:t>
            </w:r>
            <w:r>
              <w:rPr>
                <w:rFonts w:ascii="Times New Roman" w:hAnsi="Times New Roman" w:eastAsia="仿宋_GB2312"/>
                <w:szCs w:val="21"/>
              </w:rPr>
              <w:t>以上</w:t>
            </w:r>
            <w:r>
              <w:rPr>
                <w:rFonts w:hint="eastAsia" w:ascii="Times New Roman" w:hAnsi="Times New Roman" w:eastAsia="仿宋_GB2312"/>
                <w:szCs w:val="21"/>
              </w:rPr>
              <w:t>或托福100分以上。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 w:val="24"/>
                <w:szCs w:val="24"/>
              </w:rPr>
            </w:pPr>
            <w:r>
              <w:rPr>
                <w:rFonts w:ascii="Times New Roman" w:hAnsi="Times New Roman" w:eastAsia="仿宋_GB2312"/>
                <w:bCs/>
                <w:sz w:val="24"/>
                <w:szCs w:val="24"/>
              </w:rPr>
              <w:t>8</w:t>
            </w:r>
          </w:p>
        </w:tc>
        <w:tc>
          <w:tcPr>
            <w:tcW w:w="1047" w:type="dxa"/>
            <w:gridSpan w:val="2"/>
            <w:vMerge w:val="continue"/>
            <w:tcBorders>
              <w:left w:val="single" w:color="auto" w:sz="4" w:space="0"/>
              <w:bottom w:val="single" w:color="auto" w:sz="4" w:space="0"/>
              <w:right w:val="single" w:color="auto" w:sz="4" w:space="0"/>
            </w:tcBorders>
            <w:vAlign w:val="center"/>
          </w:tcPr>
          <w:p>
            <w:pPr>
              <w:widowControl/>
              <w:adjustRightInd w:val="0"/>
              <w:spacing w:line="240" w:lineRule="atLeast"/>
              <w:jc w:val="center"/>
              <w:rPr>
                <w:rFonts w:ascii="Times New Roman" w:hAnsi="Times New Roman" w:eastAsia="仿宋_GB2312"/>
                <w:szCs w:val="21"/>
              </w:rPr>
            </w:pPr>
          </w:p>
        </w:tc>
        <w:tc>
          <w:tcPr>
            <w:tcW w:w="79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境外投资</w:t>
            </w:r>
          </w:p>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二岗</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主要从事境外股票、债券研究和投资相关工作</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szCs w:val="21"/>
              </w:rPr>
            </w:pPr>
            <w:r>
              <w:rPr>
                <w:rFonts w:ascii="Times New Roman" w:hAnsi="Times New Roman" w:eastAsia="仿宋_GB2312"/>
                <w:szCs w:val="21"/>
              </w:rPr>
              <w:t>1</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hint="eastAsia" w:ascii="Times New Roman" w:hAnsi="Times New Roman" w:eastAsia="仿宋_GB2312"/>
                <w:bCs/>
                <w:szCs w:val="21"/>
              </w:rPr>
              <w:t>不限</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硕士研究生及以上</w:t>
            </w:r>
          </w:p>
        </w:tc>
        <w:tc>
          <w:tcPr>
            <w:tcW w:w="391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Times New Roman" w:hAnsi="Times New Roman" w:eastAsia="仿宋_GB2312"/>
                <w:kern w:val="0"/>
                <w:szCs w:val="21"/>
              </w:rPr>
            </w:pPr>
            <w:r>
              <w:rPr>
                <w:rFonts w:hint="eastAsia" w:ascii="Times New Roman" w:hAnsi="Times New Roman" w:eastAsia="仿宋_GB2312"/>
                <w:kern w:val="0"/>
                <w:szCs w:val="21"/>
              </w:rPr>
              <w:t>西方经济学（020104）、世界经济（020105）、金融学（含保险学）（020204）、统计学（020208）、数量经济学（020209）、金融（0251）、应用统计（0252）</w:t>
            </w:r>
          </w:p>
        </w:tc>
        <w:tc>
          <w:tcPr>
            <w:tcW w:w="153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国内应届毕业生（</w:t>
            </w:r>
            <w:r>
              <w:rPr>
                <w:rFonts w:hint="eastAsia" w:ascii="Times New Roman" w:hAnsi="Times New Roman" w:eastAsia="仿宋_GB2312"/>
                <w:szCs w:val="21"/>
              </w:rPr>
              <w:t>北京生源）、国外应届毕业生（北京生源）、</w:t>
            </w:r>
            <w:r>
              <w:rPr>
                <w:rFonts w:ascii="Times New Roman" w:hAnsi="Times New Roman" w:eastAsia="仿宋_GB2312"/>
                <w:szCs w:val="21"/>
              </w:rPr>
              <w:t>社会在职人员</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 xml:space="preserve">1. </w:t>
            </w:r>
            <w:r>
              <w:rPr>
                <w:rFonts w:ascii="Times New Roman" w:hAnsi="Times New Roman" w:eastAsia="仿宋_GB2312"/>
                <w:szCs w:val="21"/>
              </w:rPr>
              <w:t>英语六级5</w:t>
            </w:r>
            <w:r>
              <w:rPr>
                <w:rFonts w:hint="eastAsia" w:ascii="Times New Roman" w:hAnsi="Times New Roman" w:eastAsia="仿宋_GB2312"/>
                <w:szCs w:val="21"/>
              </w:rPr>
              <w:t>8</w:t>
            </w:r>
            <w:r>
              <w:rPr>
                <w:rFonts w:ascii="Times New Roman" w:hAnsi="Times New Roman" w:eastAsia="仿宋_GB2312"/>
                <w:szCs w:val="21"/>
              </w:rPr>
              <w:t>0分或</w:t>
            </w:r>
            <w:r>
              <w:rPr>
                <w:rFonts w:hint="eastAsia" w:ascii="Times New Roman" w:hAnsi="Times New Roman" w:eastAsia="仿宋_GB2312"/>
                <w:szCs w:val="21"/>
              </w:rPr>
              <w:t>通过英语专业八级考试或</w:t>
            </w:r>
            <w:r>
              <w:rPr>
                <w:rFonts w:ascii="Times New Roman" w:hAnsi="Times New Roman" w:eastAsia="仿宋_GB2312"/>
                <w:szCs w:val="21"/>
              </w:rPr>
              <w:t>雅思</w:t>
            </w:r>
            <w:r>
              <w:rPr>
                <w:rFonts w:hint="eastAsia" w:ascii="Times New Roman" w:hAnsi="Times New Roman" w:eastAsia="仿宋_GB2312"/>
                <w:szCs w:val="21"/>
              </w:rPr>
              <w:t>7分</w:t>
            </w:r>
            <w:r>
              <w:rPr>
                <w:rFonts w:ascii="Times New Roman" w:hAnsi="Times New Roman" w:eastAsia="仿宋_GB2312"/>
                <w:szCs w:val="21"/>
              </w:rPr>
              <w:t>以上</w:t>
            </w:r>
            <w:r>
              <w:rPr>
                <w:rFonts w:hint="eastAsia" w:ascii="Times New Roman" w:hAnsi="Times New Roman" w:eastAsia="仿宋_GB2312"/>
                <w:szCs w:val="21"/>
              </w:rPr>
              <w:t>或托福100分以上。</w:t>
            </w:r>
          </w:p>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2. 社会在职人员应具有两年以上证券投资岗位工作经历。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 w:val="24"/>
                <w:szCs w:val="24"/>
              </w:rPr>
            </w:pPr>
            <w:r>
              <w:rPr>
                <w:rFonts w:ascii="Times New Roman" w:hAnsi="Times New Roman" w:eastAsia="仿宋_GB2312"/>
                <w:bCs/>
                <w:sz w:val="24"/>
                <w:szCs w:val="24"/>
              </w:rPr>
              <w:t>9</w:t>
            </w:r>
          </w:p>
        </w:tc>
        <w:tc>
          <w:tcPr>
            <w:tcW w:w="104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Times New Roman" w:hAnsi="Times New Roman" w:eastAsia="仿宋_GB2312"/>
                <w:szCs w:val="21"/>
              </w:rPr>
            </w:pPr>
            <w:r>
              <w:rPr>
                <w:rFonts w:ascii="Times New Roman" w:hAnsi="Times New Roman" w:eastAsia="仿宋_GB2312"/>
                <w:szCs w:val="21"/>
              </w:rPr>
              <w:t>股权资产部（实业投资部）</w:t>
            </w:r>
          </w:p>
        </w:tc>
        <w:tc>
          <w:tcPr>
            <w:tcW w:w="79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股权</w:t>
            </w:r>
            <w:r>
              <w:rPr>
                <w:rFonts w:ascii="Times New Roman" w:hAnsi="Times New Roman" w:eastAsia="仿宋_GB2312"/>
                <w:szCs w:val="21"/>
              </w:rPr>
              <w:t>投资岗</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主要从事股权投资政策及模式研究、投资实施、投后管理</w:t>
            </w:r>
            <w:r>
              <w:rPr>
                <w:rFonts w:hint="eastAsia" w:ascii="Times New Roman" w:hAnsi="Times New Roman" w:eastAsia="仿宋_GB2312"/>
                <w:szCs w:val="21"/>
              </w:rPr>
              <w:t>及</w:t>
            </w:r>
            <w:r>
              <w:rPr>
                <w:rFonts w:ascii="Times New Roman" w:hAnsi="Times New Roman" w:eastAsia="仿宋_GB2312"/>
                <w:szCs w:val="21"/>
              </w:rPr>
              <w:t>退出等工作</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szCs w:val="21"/>
              </w:rPr>
            </w:pPr>
            <w:r>
              <w:rPr>
                <w:rFonts w:ascii="Times New Roman" w:hAnsi="Times New Roman" w:eastAsia="仿宋_GB2312"/>
                <w:szCs w:val="21"/>
              </w:rPr>
              <w:t>1</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不限</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硕士研究生及以上</w:t>
            </w:r>
          </w:p>
        </w:tc>
        <w:tc>
          <w:tcPr>
            <w:tcW w:w="391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Times New Roman" w:hAnsi="Times New Roman" w:eastAsia="仿宋_GB2312"/>
                <w:kern w:val="0"/>
                <w:szCs w:val="21"/>
              </w:rPr>
            </w:pPr>
            <w:r>
              <w:rPr>
                <w:rFonts w:hint="eastAsia" w:ascii="Times New Roman" w:hAnsi="Times New Roman" w:eastAsia="仿宋_GB2312"/>
                <w:kern w:val="0"/>
                <w:szCs w:val="21"/>
              </w:rPr>
              <w:t>经济学（02）</w:t>
            </w:r>
          </w:p>
        </w:tc>
        <w:tc>
          <w:tcPr>
            <w:tcW w:w="153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国内应届毕业生（</w:t>
            </w:r>
            <w:r>
              <w:rPr>
                <w:rFonts w:hint="eastAsia" w:ascii="Times New Roman" w:hAnsi="Times New Roman" w:eastAsia="仿宋_GB2312"/>
                <w:szCs w:val="21"/>
              </w:rPr>
              <w:t>不限生源）、国外应届毕业生（北京生源）</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1.英语六级550分或雅思6.5分以上或托福90分以上。</w:t>
            </w:r>
          </w:p>
          <w:p>
            <w:pPr>
              <w:adjustRightInd w:val="0"/>
              <w:spacing w:line="240" w:lineRule="atLeast"/>
              <w:rPr>
                <w:rFonts w:ascii="Times New Roman" w:hAnsi="Times New Roman" w:eastAsia="仿宋_GB2312"/>
                <w:szCs w:val="21"/>
              </w:rPr>
            </w:pPr>
            <w:r>
              <w:rPr>
                <w:rFonts w:ascii="Times New Roman" w:hAnsi="Times New Roman" w:eastAsia="仿宋_GB2312"/>
                <w:szCs w:val="21"/>
              </w:rPr>
              <w:t>2.</w:t>
            </w:r>
            <w:r>
              <w:rPr>
                <w:rFonts w:hint="eastAsia" w:ascii="Times New Roman" w:hAnsi="Times New Roman" w:eastAsia="仿宋_GB2312"/>
                <w:szCs w:val="21"/>
              </w:rPr>
              <w:t>因本岗位有从事理工类产业投资工作内容，应聘者需有理工科专业背景。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 w:val="24"/>
                <w:szCs w:val="24"/>
              </w:rPr>
            </w:pPr>
            <w:r>
              <w:rPr>
                <w:rFonts w:ascii="Times New Roman" w:hAnsi="Times New Roman" w:eastAsia="仿宋_GB2312"/>
                <w:bCs/>
                <w:sz w:val="24"/>
                <w:szCs w:val="24"/>
              </w:rPr>
              <w:t>10</w:t>
            </w:r>
          </w:p>
        </w:tc>
        <w:tc>
          <w:tcPr>
            <w:tcW w:w="104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风险管理部</w:t>
            </w:r>
          </w:p>
        </w:tc>
        <w:tc>
          <w:tcPr>
            <w:tcW w:w="79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投资风险</w:t>
            </w:r>
          </w:p>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管理岗</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主要从事基金投资风险管理，应用风险评估模型进行量化分析等工作</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szCs w:val="21"/>
              </w:rPr>
            </w:pPr>
            <w:r>
              <w:rPr>
                <w:rFonts w:ascii="Times New Roman" w:hAnsi="Times New Roman" w:eastAsia="仿宋_GB2312"/>
                <w:szCs w:val="21"/>
              </w:rPr>
              <w:t>1</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hint="eastAsia" w:ascii="Times New Roman" w:hAnsi="Times New Roman" w:eastAsia="仿宋_GB2312"/>
                <w:bCs/>
                <w:szCs w:val="21"/>
              </w:rPr>
              <w:t>不限</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硕士研究生及以上</w:t>
            </w:r>
          </w:p>
        </w:tc>
        <w:tc>
          <w:tcPr>
            <w:tcW w:w="391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Times New Roman" w:hAnsi="Times New Roman" w:eastAsia="仿宋_GB2312"/>
                <w:kern w:val="0"/>
                <w:szCs w:val="21"/>
              </w:rPr>
            </w:pPr>
            <w:r>
              <w:rPr>
                <w:rFonts w:hint="eastAsia" w:ascii="Times New Roman" w:hAnsi="Times New Roman" w:eastAsia="仿宋_GB2312"/>
                <w:kern w:val="0"/>
                <w:szCs w:val="21"/>
              </w:rPr>
              <w:t xml:space="preserve">金融学（020204）、统计学（020208）、数量经济学（020209）、概率论与数理统计（070103）、应用数学（070104） </w:t>
            </w:r>
          </w:p>
        </w:tc>
        <w:tc>
          <w:tcPr>
            <w:tcW w:w="153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国内应届毕业生（</w:t>
            </w:r>
            <w:r>
              <w:rPr>
                <w:rFonts w:hint="eastAsia" w:ascii="Times New Roman" w:hAnsi="Times New Roman" w:eastAsia="仿宋_GB2312"/>
                <w:szCs w:val="21"/>
              </w:rPr>
              <w:t>不限生源）、国外应届毕业生（北京生源）</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1.英语六级5</w:t>
            </w:r>
            <w:r>
              <w:rPr>
                <w:rFonts w:hint="eastAsia" w:ascii="Times New Roman" w:hAnsi="Times New Roman" w:eastAsia="仿宋_GB2312"/>
                <w:szCs w:val="21"/>
              </w:rPr>
              <w:t>6</w:t>
            </w:r>
            <w:r>
              <w:rPr>
                <w:rFonts w:ascii="Times New Roman" w:hAnsi="Times New Roman" w:eastAsia="仿宋_GB2312"/>
                <w:szCs w:val="21"/>
              </w:rPr>
              <w:t>0分或雅思</w:t>
            </w:r>
            <w:r>
              <w:rPr>
                <w:rFonts w:hint="eastAsia" w:ascii="Times New Roman" w:hAnsi="Times New Roman" w:eastAsia="仿宋_GB2312"/>
                <w:szCs w:val="21"/>
              </w:rPr>
              <w:t>7分或托福100分</w:t>
            </w:r>
            <w:r>
              <w:rPr>
                <w:rFonts w:ascii="Times New Roman" w:hAnsi="Times New Roman" w:eastAsia="仿宋_GB2312"/>
                <w:szCs w:val="21"/>
              </w:rPr>
              <w:t>以上；</w:t>
            </w:r>
          </w:p>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2.同等条件下，通过CFA一级或FRM一级考试优先，熟悉Python或Matlab等编程语言优先。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 w:val="24"/>
                <w:szCs w:val="24"/>
              </w:rPr>
            </w:pPr>
            <w:r>
              <w:rPr>
                <w:rFonts w:ascii="Times New Roman" w:hAnsi="Times New Roman" w:eastAsia="仿宋_GB2312"/>
                <w:bCs/>
                <w:sz w:val="24"/>
                <w:szCs w:val="24"/>
              </w:rPr>
              <w:t>11</w:t>
            </w:r>
          </w:p>
        </w:tc>
        <w:tc>
          <w:tcPr>
            <w:tcW w:w="104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国有资本管理部</w:t>
            </w:r>
          </w:p>
        </w:tc>
        <w:tc>
          <w:tcPr>
            <w:tcW w:w="79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股权管理</w:t>
            </w:r>
            <w:r>
              <w:rPr>
                <w:rFonts w:ascii="Times New Roman" w:hAnsi="Times New Roman" w:eastAsia="仿宋_GB2312"/>
                <w:szCs w:val="21"/>
              </w:rPr>
              <w:t>岗</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主要从事国有股权的权益管理、持股企业价值分析及相关研究工作</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szCs w:val="21"/>
              </w:rPr>
            </w:pPr>
            <w:r>
              <w:rPr>
                <w:rFonts w:ascii="Times New Roman" w:hAnsi="Times New Roman" w:eastAsia="仿宋_GB2312"/>
                <w:szCs w:val="21"/>
              </w:rPr>
              <w:t>1</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hint="eastAsia" w:ascii="Times New Roman" w:hAnsi="Times New Roman" w:eastAsia="仿宋_GB2312"/>
                <w:bCs/>
                <w:szCs w:val="21"/>
              </w:rPr>
              <w:t>不限</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硕士研究生及以上</w:t>
            </w:r>
          </w:p>
        </w:tc>
        <w:tc>
          <w:tcPr>
            <w:tcW w:w="391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Times New Roman" w:hAnsi="Times New Roman" w:eastAsia="仿宋_GB2312"/>
                <w:kern w:val="0"/>
                <w:szCs w:val="21"/>
              </w:rPr>
            </w:pPr>
            <w:r>
              <w:rPr>
                <w:rFonts w:hint="eastAsia" w:ascii="Times New Roman" w:hAnsi="Times New Roman" w:eastAsia="仿宋_GB2312"/>
                <w:kern w:val="0"/>
                <w:szCs w:val="21"/>
              </w:rPr>
              <w:t>金融学（020204）、金融（0251）、资产评估（0256）、会计学（120201）、会计（1253）、企业管理（需财务管理方向，120202）</w:t>
            </w:r>
          </w:p>
        </w:tc>
        <w:tc>
          <w:tcPr>
            <w:tcW w:w="153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国内应届毕业生（</w:t>
            </w:r>
            <w:r>
              <w:rPr>
                <w:rFonts w:hint="eastAsia" w:ascii="Times New Roman" w:hAnsi="Times New Roman" w:eastAsia="仿宋_GB2312"/>
                <w:szCs w:val="21"/>
              </w:rPr>
              <w:t>不限生源）、国外应届毕业生（北京生源）</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 w:val="24"/>
                <w:szCs w:val="24"/>
              </w:rPr>
            </w:pPr>
            <w:r>
              <w:rPr>
                <w:rFonts w:ascii="Times New Roman" w:hAnsi="Times New Roman" w:eastAsia="仿宋_GB2312"/>
                <w:bCs/>
                <w:sz w:val="24"/>
                <w:szCs w:val="24"/>
              </w:rPr>
              <w:t>12</w:t>
            </w:r>
          </w:p>
        </w:tc>
        <w:tc>
          <w:tcPr>
            <w:tcW w:w="104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Times New Roman" w:hAnsi="Times New Roman" w:eastAsia="仿宋_GB2312"/>
                <w:szCs w:val="21"/>
              </w:rPr>
            </w:pPr>
            <w:r>
              <w:rPr>
                <w:rFonts w:ascii="Times New Roman" w:hAnsi="Times New Roman" w:eastAsia="仿宋_GB2312"/>
                <w:szCs w:val="21"/>
              </w:rPr>
              <w:t>信息技术部</w:t>
            </w:r>
          </w:p>
        </w:tc>
        <w:tc>
          <w:tcPr>
            <w:tcW w:w="79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应用</w:t>
            </w:r>
            <w:r>
              <w:rPr>
                <w:rFonts w:ascii="Times New Roman" w:hAnsi="Times New Roman" w:eastAsia="仿宋_GB2312"/>
                <w:szCs w:val="21"/>
              </w:rPr>
              <w:t>开发管理岗</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主要从事基金投资运营相关业务领域信息系统、基础设施和网络安全建设工作</w:t>
            </w:r>
            <w:r>
              <w:rPr>
                <w:rFonts w:ascii="Times New Roman" w:hAnsi="Times New Roman" w:eastAsia="仿宋_GB2312"/>
                <w:szCs w:val="21"/>
              </w:rPr>
              <w:t xml:space="preserve"> </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szCs w:val="21"/>
              </w:rPr>
            </w:pPr>
            <w:r>
              <w:rPr>
                <w:rFonts w:ascii="Times New Roman" w:hAnsi="Times New Roman" w:eastAsia="仿宋_GB2312"/>
                <w:szCs w:val="21"/>
              </w:rPr>
              <w:t>1</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不限</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硕士研究生及以上</w:t>
            </w:r>
          </w:p>
        </w:tc>
        <w:tc>
          <w:tcPr>
            <w:tcW w:w="391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Times New Roman" w:hAnsi="Times New Roman" w:eastAsia="仿宋_GB2312"/>
                <w:kern w:val="0"/>
                <w:szCs w:val="21"/>
              </w:rPr>
            </w:pPr>
            <w:r>
              <w:rPr>
                <w:rFonts w:hint="eastAsia" w:ascii="Times New Roman" w:hAnsi="Times New Roman" w:eastAsia="仿宋_GB2312"/>
                <w:kern w:val="0"/>
                <w:szCs w:val="21"/>
              </w:rPr>
              <w:t>金融（0251）、应用统计（0252）、数学（0701）、统计学（0714）、电子科学与技术（0809）、信息与通信工程（0810）、计算机科学与技术（0812）、软件工程（0835）</w:t>
            </w:r>
          </w:p>
        </w:tc>
        <w:tc>
          <w:tcPr>
            <w:tcW w:w="153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国内应届毕业生（</w:t>
            </w:r>
            <w:r>
              <w:rPr>
                <w:rFonts w:hint="eastAsia" w:ascii="Times New Roman" w:hAnsi="Times New Roman" w:eastAsia="仿宋_GB2312"/>
                <w:szCs w:val="21"/>
              </w:rPr>
              <w:t>不限生源）、国外应届毕业生（北京生源）、</w:t>
            </w:r>
            <w:r>
              <w:rPr>
                <w:rFonts w:ascii="Times New Roman" w:hAnsi="Times New Roman" w:eastAsia="仿宋_GB2312"/>
                <w:szCs w:val="21"/>
              </w:rPr>
              <w:t>社会在职人员</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同等条件下，具有在宏观经济金融管理部门或国有</w:t>
            </w:r>
            <w:r>
              <w:rPr>
                <w:rFonts w:ascii="Times New Roman" w:hAnsi="Times New Roman" w:eastAsia="仿宋_GB2312"/>
                <w:szCs w:val="21"/>
              </w:rPr>
              <w:t>金融机构</w:t>
            </w:r>
            <w:r>
              <w:rPr>
                <w:rFonts w:hint="eastAsia" w:ascii="Times New Roman" w:hAnsi="Times New Roman" w:eastAsia="仿宋_GB2312"/>
                <w:szCs w:val="21"/>
              </w:rPr>
              <w:t>类似</w:t>
            </w:r>
            <w:r>
              <w:rPr>
                <w:rFonts w:ascii="Times New Roman" w:hAnsi="Times New Roman" w:eastAsia="仿宋_GB2312"/>
                <w:szCs w:val="21"/>
              </w:rPr>
              <w:t>工作经历</w:t>
            </w:r>
            <w:r>
              <w:rPr>
                <w:rFonts w:hint="eastAsia" w:ascii="Times New Roman" w:hAnsi="Times New Roman" w:eastAsia="仿宋_GB2312"/>
                <w:szCs w:val="21"/>
              </w:rPr>
              <w:t>者优先，具有金融、信息技术复合专业背景者优先。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 w:val="24"/>
                <w:szCs w:val="24"/>
              </w:rPr>
            </w:pPr>
            <w:r>
              <w:rPr>
                <w:rFonts w:hint="eastAsia" w:ascii="Times New Roman" w:hAnsi="Times New Roman" w:eastAsia="仿宋_GB2312"/>
                <w:bCs/>
                <w:sz w:val="24"/>
                <w:szCs w:val="24"/>
              </w:rPr>
              <w:t>13</w:t>
            </w:r>
          </w:p>
        </w:tc>
        <w:tc>
          <w:tcPr>
            <w:tcW w:w="1047" w:type="dxa"/>
            <w:gridSpan w:val="2"/>
            <w:vMerge w:val="restart"/>
            <w:tcBorders>
              <w:top w:val="single" w:color="auto" w:sz="4" w:space="0"/>
              <w:left w:val="single" w:color="auto" w:sz="4" w:space="0"/>
              <w:right w:val="single" w:color="auto" w:sz="4" w:space="0"/>
            </w:tcBorders>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机关党委（人事部）</w:t>
            </w:r>
          </w:p>
        </w:tc>
        <w:tc>
          <w:tcPr>
            <w:tcW w:w="79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人事综合岗</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主要从事干部人事、薪酬福利、教育培训等工作</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1</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hint="eastAsia" w:ascii="Times New Roman" w:hAnsi="Times New Roman" w:eastAsia="仿宋_GB2312"/>
                <w:bCs/>
                <w:szCs w:val="21"/>
              </w:rPr>
              <w:t>中共党员</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ascii="Times New Roman" w:hAnsi="Times New Roman" w:eastAsia="仿宋_GB2312"/>
                <w:bCs/>
                <w:szCs w:val="21"/>
              </w:rPr>
              <w:t>硕士研究生及以上</w:t>
            </w:r>
          </w:p>
        </w:tc>
        <w:tc>
          <w:tcPr>
            <w:tcW w:w="391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Times New Roman" w:hAnsi="Times New Roman" w:eastAsia="仿宋_GB2312"/>
                <w:kern w:val="0"/>
                <w:szCs w:val="21"/>
              </w:rPr>
            </w:pPr>
            <w:r>
              <w:rPr>
                <w:rFonts w:hint="eastAsia" w:ascii="Times New Roman" w:hAnsi="Times New Roman" w:eastAsia="仿宋_GB2312"/>
                <w:kern w:val="0"/>
                <w:szCs w:val="21"/>
              </w:rPr>
              <w:t>经济学（02）、工商管理学（1202）、公共管理学（1204）、工商管理（1251）、公共管理（1252）</w:t>
            </w:r>
          </w:p>
        </w:tc>
        <w:tc>
          <w:tcPr>
            <w:tcW w:w="153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ascii="Times New Roman" w:hAnsi="Times New Roman" w:eastAsia="仿宋_GB2312"/>
                <w:szCs w:val="21"/>
              </w:rPr>
              <w:t>国内应届毕业生（</w:t>
            </w:r>
            <w:r>
              <w:rPr>
                <w:rFonts w:hint="eastAsia" w:ascii="Times New Roman" w:hAnsi="Times New Roman" w:eastAsia="仿宋_GB2312"/>
                <w:szCs w:val="21"/>
              </w:rPr>
              <w:t>不限生源）、国外应届毕业生（北京生源）</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 w:val="24"/>
                <w:szCs w:val="24"/>
              </w:rPr>
            </w:pPr>
            <w:r>
              <w:rPr>
                <w:rFonts w:hint="eastAsia" w:ascii="Times New Roman" w:hAnsi="Times New Roman" w:eastAsia="仿宋_GB2312"/>
                <w:bCs/>
                <w:sz w:val="24"/>
                <w:szCs w:val="24"/>
              </w:rPr>
              <w:t>14</w:t>
            </w:r>
          </w:p>
        </w:tc>
        <w:tc>
          <w:tcPr>
            <w:tcW w:w="1047" w:type="dxa"/>
            <w:gridSpan w:val="2"/>
            <w:vMerge w:val="continue"/>
            <w:tcBorders>
              <w:left w:val="single" w:color="auto" w:sz="4" w:space="0"/>
              <w:bottom w:val="single" w:color="auto" w:sz="4" w:space="0"/>
              <w:right w:val="single" w:color="auto" w:sz="4" w:space="0"/>
            </w:tcBorders>
            <w:vAlign w:val="center"/>
          </w:tcPr>
          <w:p>
            <w:pPr>
              <w:widowControl/>
              <w:adjustRightInd w:val="0"/>
              <w:spacing w:line="240" w:lineRule="atLeast"/>
              <w:rPr>
                <w:rFonts w:ascii="Times New Roman" w:hAnsi="Times New Roman" w:eastAsia="仿宋_GB2312"/>
                <w:szCs w:val="21"/>
              </w:rPr>
            </w:pPr>
          </w:p>
        </w:tc>
        <w:tc>
          <w:tcPr>
            <w:tcW w:w="79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退休干部</w:t>
            </w:r>
          </w:p>
          <w:p>
            <w:pPr>
              <w:widowControl/>
              <w:adjustRightInd w:val="0"/>
              <w:spacing w:line="240" w:lineRule="atLeast"/>
              <w:jc w:val="center"/>
              <w:rPr>
                <w:rFonts w:ascii="Times New Roman" w:hAnsi="Times New Roman" w:eastAsia="仿宋_GB2312"/>
                <w:szCs w:val="21"/>
              </w:rPr>
            </w:pPr>
            <w:r>
              <w:rPr>
                <w:rFonts w:hint="eastAsia" w:ascii="Times New Roman" w:hAnsi="Times New Roman" w:eastAsia="仿宋_GB2312"/>
                <w:szCs w:val="21"/>
              </w:rPr>
              <w:t>管理岗</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left"/>
              <w:rPr>
                <w:rFonts w:ascii="Times New Roman" w:hAnsi="Times New Roman" w:eastAsia="仿宋_GB2312"/>
                <w:szCs w:val="21"/>
              </w:rPr>
            </w:pPr>
            <w:r>
              <w:rPr>
                <w:rFonts w:hint="eastAsia" w:ascii="Times New Roman" w:hAnsi="Times New Roman" w:eastAsia="仿宋_GB2312"/>
                <w:szCs w:val="21"/>
              </w:rPr>
              <w:t>主要从事退休干部日常管理、党建、服务保障等工作</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szCs w:val="21"/>
              </w:rPr>
            </w:pPr>
            <w:r>
              <w:rPr>
                <w:rFonts w:ascii="Times New Roman" w:hAnsi="Times New Roman" w:eastAsia="仿宋_GB2312"/>
                <w:szCs w:val="21"/>
              </w:rPr>
              <w:t>1</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hint="eastAsia" w:ascii="Times New Roman" w:hAnsi="Times New Roman" w:eastAsia="仿宋_GB2312"/>
                <w:bCs/>
                <w:szCs w:val="21"/>
              </w:rPr>
              <w:t>中共党员</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jc w:val="center"/>
              <w:rPr>
                <w:rFonts w:ascii="Times New Roman" w:hAnsi="Times New Roman" w:eastAsia="仿宋_GB2312"/>
                <w:bCs/>
                <w:szCs w:val="21"/>
              </w:rPr>
            </w:pPr>
            <w:r>
              <w:rPr>
                <w:rFonts w:hint="eastAsia" w:ascii="Times New Roman" w:hAnsi="Times New Roman" w:eastAsia="仿宋_GB2312"/>
                <w:bCs/>
                <w:szCs w:val="21"/>
              </w:rPr>
              <w:t>本科及以上</w:t>
            </w:r>
          </w:p>
        </w:tc>
        <w:tc>
          <w:tcPr>
            <w:tcW w:w="391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atLeast"/>
              <w:rPr>
                <w:rFonts w:ascii="Times New Roman" w:hAnsi="Times New Roman" w:eastAsia="仿宋_GB2312"/>
                <w:kern w:val="0"/>
                <w:szCs w:val="21"/>
              </w:rPr>
            </w:pPr>
            <w:r>
              <w:rPr>
                <w:rFonts w:hint="eastAsia" w:ascii="Times New Roman" w:hAnsi="Times New Roman" w:eastAsia="仿宋_GB2312"/>
                <w:b/>
                <w:kern w:val="0"/>
                <w:szCs w:val="21"/>
              </w:rPr>
              <w:t>研究生：</w:t>
            </w:r>
            <w:r>
              <w:rPr>
                <w:rFonts w:hint="eastAsia" w:ascii="Times New Roman" w:hAnsi="Times New Roman" w:eastAsia="仿宋_GB2312"/>
                <w:kern w:val="0"/>
                <w:szCs w:val="21"/>
              </w:rPr>
              <w:t>经济学（02）、社会学（0303）、马克思主义理论（0305）、社会工作（0352）、心理学（0402）、应用心理（0454）、工商管理学（1202）、公共管理学（1204）、工商管理（1251）、公共管理（1252）</w:t>
            </w:r>
          </w:p>
          <w:p>
            <w:pPr>
              <w:widowControl/>
              <w:adjustRightInd w:val="0"/>
              <w:spacing w:line="240" w:lineRule="atLeast"/>
              <w:rPr>
                <w:rFonts w:ascii="Times New Roman" w:hAnsi="Times New Roman" w:eastAsia="仿宋_GB2312"/>
                <w:kern w:val="0"/>
                <w:szCs w:val="21"/>
              </w:rPr>
            </w:pPr>
            <w:r>
              <w:rPr>
                <w:rFonts w:hint="eastAsia" w:ascii="Times New Roman" w:hAnsi="Times New Roman" w:eastAsia="仿宋_GB2312"/>
                <w:b/>
                <w:kern w:val="0"/>
                <w:szCs w:val="21"/>
              </w:rPr>
              <w:t>本科：</w:t>
            </w:r>
            <w:r>
              <w:rPr>
                <w:rFonts w:hint="eastAsia" w:ascii="Times New Roman" w:hAnsi="Times New Roman" w:eastAsia="仿宋_GB2312"/>
                <w:kern w:val="0"/>
                <w:szCs w:val="21"/>
              </w:rPr>
              <w:t>经济学（02）、社会学（</w:t>
            </w:r>
            <w:r>
              <w:rPr>
                <w:rFonts w:ascii="Times New Roman" w:hAnsi="Times New Roman" w:eastAsia="仿宋_GB2312"/>
                <w:kern w:val="0"/>
                <w:szCs w:val="21"/>
              </w:rPr>
              <w:t>030301</w:t>
            </w:r>
            <w:r>
              <w:rPr>
                <w:rFonts w:hint="eastAsia" w:ascii="Times New Roman" w:hAnsi="Times New Roman" w:eastAsia="仿宋_GB2312"/>
                <w:kern w:val="0"/>
                <w:szCs w:val="21"/>
              </w:rPr>
              <w:t>）、社会工作（</w:t>
            </w:r>
            <w:r>
              <w:rPr>
                <w:rFonts w:ascii="Times New Roman" w:hAnsi="Times New Roman" w:eastAsia="仿宋_GB2312"/>
                <w:kern w:val="0"/>
                <w:szCs w:val="21"/>
              </w:rPr>
              <w:t>030302</w:t>
            </w:r>
            <w:r>
              <w:rPr>
                <w:rFonts w:hint="eastAsia" w:ascii="Times New Roman" w:hAnsi="Times New Roman" w:eastAsia="仿宋_GB2312"/>
                <w:kern w:val="0"/>
                <w:szCs w:val="21"/>
              </w:rPr>
              <w:t>）、老年学（</w:t>
            </w:r>
            <w:r>
              <w:rPr>
                <w:rFonts w:ascii="Times New Roman" w:hAnsi="Times New Roman" w:eastAsia="仿宋_GB2312"/>
                <w:kern w:val="0"/>
                <w:szCs w:val="21"/>
              </w:rPr>
              <w:t>030306T</w:t>
            </w:r>
            <w:r>
              <w:rPr>
                <w:rFonts w:hint="eastAsia" w:ascii="Times New Roman" w:hAnsi="Times New Roman" w:eastAsia="仿宋_GB2312"/>
                <w:kern w:val="0"/>
                <w:szCs w:val="21"/>
              </w:rPr>
              <w:t>）、马克思主义理论（0305）、心理学（</w:t>
            </w:r>
            <w:r>
              <w:rPr>
                <w:rFonts w:ascii="Times New Roman" w:hAnsi="Times New Roman" w:eastAsia="仿宋_GB2312"/>
                <w:kern w:val="0"/>
                <w:szCs w:val="21"/>
              </w:rPr>
              <w:t>0711</w:t>
            </w:r>
            <w:r>
              <w:rPr>
                <w:rFonts w:hint="eastAsia" w:ascii="Times New Roman" w:hAnsi="Times New Roman" w:eastAsia="仿宋_GB2312"/>
                <w:kern w:val="0"/>
                <w:szCs w:val="21"/>
              </w:rPr>
              <w:t>）、工商管理（1202）、公共事业管理（</w:t>
            </w:r>
            <w:r>
              <w:rPr>
                <w:rFonts w:ascii="Times New Roman" w:hAnsi="Times New Roman" w:eastAsia="仿宋_GB2312"/>
                <w:kern w:val="0"/>
                <w:szCs w:val="21"/>
              </w:rPr>
              <w:t>120401</w:t>
            </w:r>
            <w:r>
              <w:rPr>
                <w:rFonts w:hint="eastAsia" w:ascii="Times New Roman" w:hAnsi="Times New Roman" w:eastAsia="仿宋_GB2312"/>
                <w:kern w:val="0"/>
                <w:szCs w:val="21"/>
              </w:rPr>
              <w:t>）、行政管理（</w:t>
            </w:r>
            <w:r>
              <w:rPr>
                <w:rFonts w:ascii="Times New Roman" w:hAnsi="Times New Roman" w:eastAsia="仿宋_GB2312"/>
                <w:kern w:val="0"/>
                <w:szCs w:val="21"/>
              </w:rPr>
              <w:t>120402</w:t>
            </w:r>
            <w:r>
              <w:rPr>
                <w:rFonts w:hint="eastAsia" w:ascii="Times New Roman" w:hAnsi="Times New Roman" w:eastAsia="仿宋_GB2312"/>
                <w:kern w:val="0"/>
                <w:szCs w:val="21"/>
              </w:rPr>
              <w:t>）、劳动与社会保障（</w:t>
            </w:r>
            <w:r>
              <w:rPr>
                <w:rFonts w:ascii="Times New Roman" w:hAnsi="Times New Roman" w:eastAsia="仿宋_GB2312"/>
                <w:kern w:val="0"/>
                <w:szCs w:val="21"/>
              </w:rPr>
              <w:t>120403</w:t>
            </w:r>
            <w:r>
              <w:rPr>
                <w:rFonts w:hint="eastAsia" w:ascii="Times New Roman" w:hAnsi="Times New Roman" w:eastAsia="仿宋_GB2312"/>
                <w:kern w:val="0"/>
                <w:szCs w:val="21"/>
              </w:rPr>
              <w:t>）、公共关系学（</w:t>
            </w:r>
            <w:r>
              <w:rPr>
                <w:rFonts w:ascii="Times New Roman" w:hAnsi="Times New Roman" w:eastAsia="仿宋_GB2312"/>
                <w:kern w:val="0"/>
                <w:szCs w:val="21"/>
              </w:rPr>
              <w:t>120409T</w:t>
            </w:r>
            <w:r>
              <w:rPr>
                <w:rFonts w:hint="eastAsia" w:ascii="Times New Roman" w:hAnsi="Times New Roman" w:eastAsia="仿宋_GB2312"/>
                <w:kern w:val="0"/>
                <w:szCs w:val="21"/>
              </w:rPr>
              <w:t>）</w:t>
            </w:r>
          </w:p>
        </w:tc>
        <w:tc>
          <w:tcPr>
            <w:tcW w:w="1531"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社会在职人员</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40" w:lineRule="atLeast"/>
              <w:rPr>
                <w:rFonts w:ascii="Times New Roman" w:hAnsi="Times New Roman" w:eastAsia="仿宋_GB2312"/>
                <w:szCs w:val="21"/>
              </w:rPr>
            </w:pPr>
            <w:r>
              <w:rPr>
                <w:rFonts w:hint="eastAsia" w:ascii="Times New Roman" w:hAnsi="Times New Roman" w:eastAsia="仿宋_GB2312"/>
                <w:szCs w:val="21"/>
              </w:rPr>
              <w:t>需在党政机关、国有企事业单位从事组织人事、党建群团、退休干部相关工作</w:t>
            </w:r>
            <w:r>
              <w:rPr>
                <w:rFonts w:ascii="Times New Roman" w:hAnsi="Times New Roman" w:eastAsia="仿宋_GB2312"/>
                <w:szCs w:val="21"/>
              </w:rPr>
              <w:t>3</w:t>
            </w:r>
            <w:r>
              <w:rPr>
                <w:rFonts w:hint="eastAsia" w:ascii="Times New Roman" w:hAnsi="Times New Roman" w:eastAsia="仿宋_GB2312"/>
                <w:szCs w:val="21"/>
              </w:rPr>
              <w:t>年及以上工作经历。</w:t>
            </w:r>
          </w:p>
        </w:tc>
      </w:tr>
    </w:tbl>
    <w:p>
      <w:pPr>
        <w:spacing w:line="540" w:lineRule="exact"/>
        <w:rPr>
          <w:rFonts w:ascii="Times New Roman" w:hAnsi="Times New Roman" w:eastAsia="仿宋_GB2312"/>
          <w:sz w:val="32"/>
          <w:szCs w:val="32"/>
        </w:rPr>
      </w:pPr>
    </w:p>
    <w:sectPr>
      <w:footerReference r:id="rId3" w:type="default"/>
      <w:pgSz w:w="16838" w:h="11906" w:orient="landscape"/>
      <w:pgMar w:top="1797"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doNotTrackMoves/>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YTFhYTdlYTcxMWQ2Y2ZhMWYxOTRlMTBiMzAxZDAifQ=="/>
  </w:docVars>
  <w:rsids>
    <w:rsidRoot w:val="005E35D8"/>
    <w:rsid w:val="00007364"/>
    <w:rsid w:val="00032155"/>
    <w:rsid w:val="00032DD3"/>
    <w:rsid w:val="00034658"/>
    <w:rsid w:val="00043338"/>
    <w:rsid w:val="00066830"/>
    <w:rsid w:val="0006685F"/>
    <w:rsid w:val="00081B2A"/>
    <w:rsid w:val="0009236A"/>
    <w:rsid w:val="000B1355"/>
    <w:rsid w:val="000B1848"/>
    <w:rsid w:val="000B33E6"/>
    <w:rsid w:val="000B775D"/>
    <w:rsid w:val="000C1A51"/>
    <w:rsid w:val="000C210B"/>
    <w:rsid w:val="000C6289"/>
    <w:rsid w:val="000D0B06"/>
    <w:rsid w:val="000F0099"/>
    <w:rsid w:val="000F7728"/>
    <w:rsid w:val="0010294C"/>
    <w:rsid w:val="00105476"/>
    <w:rsid w:val="00106917"/>
    <w:rsid w:val="001116AA"/>
    <w:rsid w:val="001146DD"/>
    <w:rsid w:val="00115294"/>
    <w:rsid w:val="001349D5"/>
    <w:rsid w:val="001440CB"/>
    <w:rsid w:val="00145901"/>
    <w:rsid w:val="0014671C"/>
    <w:rsid w:val="00146ED6"/>
    <w:rsid w:val="0015044B"/>
    <w:rsid w:val="00150829"/>
    <w:rsid w:val="00150E6B"/>
    <w:rsid w:val="00152007"/>
    <w:rsid w:val="001560A2"/>
    <w:rsid w:val="00167387"/>
    <w:rsid w:val="001718FA"/>
    <w:rsid w:val="00184724"/>
    <w:rsid w:val="00185ACD"/>
    <w:rsid w:val="00187100"/>
    <w:rsid w:val="0018798B"/>
    <w:rsid w:val="00192003"/>
    <w:rsid w:val="0019254A"/>
    <w:rsid w:val="00195F2F"/>
    <w:rsid w:val="001A4404"/>
    <w:rsid w:val="001B34CE"/>
    <w:rsid w:val="001B5127"/>
    <w:rsid w:val="001C4E6A"/>
    <w:rsid w:val="001C53AC"/>
    <w:rsid w:val="001D181A"/>
    <w:rsid w:val="001D3325"/>
    <w:rsid w:val="001D74EC"/>
    <w:rsid w:val="001E4018"/>
    <w:rsid w:val="001E43D3"/>
    <w:rsid w:val="002004C8"/>
    <w:rsid w:val="00201CAD"/>
    <w:rsid w:val="002048D9"/>
    <w:rsid w:val="0021603B"/>
    <w:rsid w:val="00222064"/>
    <w:rsid w:val="00232592"/>
    <w:rsid w:val="00232FDB"/>
    <w:rsid w:val="00236538"/>
    <w:rsid w:val="0024043D"/>
    <w:rsid w:val="00244B3E"/>
    <w:rsid w:val="002513AA"/>
    <w:rsid w:val="0025306A"/>
    <w:rsid w:val="0025651A"/>
    <w:rsid w:val="00270ED0"/>
    <w:rsid w:val="00272449"/>
    <w:rsid w:val="00272903"/>
    <w:rsid w:val="00274CD2"/>
    <w:rsid w:val="0028135C"/>
    <w:rsid w:val="002A246D"/>
    <w:rsid w:val="002A6867"/>
    <w:rsid w:val="002B14D2"/>
    <w:rsid w:val="002B3A3F"/>
    <w:rsid w:val="002C2561"/>
    <w:rsid w:val="002D7D49"/>
    <w:rsid w:val="002E3D5A"/>
    <w:rsid w:val="002E455D"/>
    <w:rsid w:val="002E780D"/>
    <w:rsid w:val="002F63CA"/>
    <w:rsid w:val="002F74B3"/>
    <w:rsid w:val="003107BE"/>
    <w:rsid w:val="00332DAA"/>
    <w:rsid w:val="003348A1"/>
    <w:rsid w:val="00337E50"/>
    <w:rsid w:val="00340B6E"/>
    <w:rsid w:val="00342E55"/>
    <w:rsid w:val="00344A61"/>
    <w:rsid w:val="003514C7"/>
    <w:rsid w:val="00362998"/>
    <w:rsid w:val="00362FC9"/>
    <w:rsid w:val="0036666D"/>
    <w:rsid w:val="00366D4D"/>
    <w:rsid w:val="00376985"/>
    <w:rsid w:val="00387138"/>
    <w:rsid w:val="003A6E28"/>
    <w:rsid w:val="003B0CE6"/>
    <w:rsid w:val="003F2380"/>
    <w:rsid w:val="00403E7E"/>
    <w:rsid w:val="0040684B"/>
    <w:rsid w:val="00407975"/>
    <w:rsid w:val="00411913"/>
    <w:rsid w:val="00413E49"/>
    <w:rsid w:val="004152A8"/>
    <w:rsid w:val="004162F2"/>
    <w:rsid w:val="00420A0C"/>
    <w:rsid w:val="004215B2"/>
    <w:rsid w:val="00422C43"/>
    <w:rsid w:val="004340AB"/>
    <w:rsid w:val="004357AD"/>
    <w:rsid w:val="0043596F"/>
    <w:rsid w:val="00440720"/>
    <w:rsid w:val="00451B33"/>
    <w:rsid w:val="0045614F"/>
    <w:rsid w:val="004561C4"/>
    <w:rsid w:val="004571DD"/>
    <w:rsid w:val="00461838"/>
    <w:rsid w:val="00464B3B"/>
    <w:rsid w:val="00464D60"/>
    <w:rsid w:val="00464F99"/>
    <w:rsid w:val="004718B6"/>
    <w:rsid w:val="00474CDC"/>
    <w:rsid w:val="00476BE0"/>
    <w:rsid w:val="00482B7C"/>
    <w:rsid w:val="004927CC"/>
    <w:rsid w:val="004A3B07"/>
    <w:rsid w:val="004A6028"/>
    <w:rsid w:val="004B0E0B"/>
    <w:rsid w:val="004C72A7"/>
    <w:rsid w:val="004E3C4B"/>
    <w:rsid w:val="004E5536"/>
    <w:rsid w:val="004E5F77"/>
    <w:rsid w:val="004E6A72"/>
    <w:rsid w:val="004F0678"/>
    <w:rsid w:val="004F20EB"/>
    <w:rsid w:val="004F341F"/>
    <w:rsid w:val="004F3DED"/>
    <w:rsid w:val="0050275F"/>
    <w:rsid w:val="00506CF1"/>
    <w:rsid w:val="00515DD0"/>
    <w:rsid w:val="00521303"/>
    <w:rsid w:val="00531334"/>
    <w:rsid w:val="00536687"/>
    <w:rsid w:val="00536CC5"/>
    <w:rsid w:val="005457E0"/>
    <w:rsid w:val="00562262"/>
    <w:rsid w:val="00565A36"/>
    <w:rsid w:val="005854E2"/>
    <w:rsid w:val="00585E24"/>
    <w:rsid w:val="005870ED"/>
    <w:rsid w:val="00591BEE"/>
    <w:rsid w:val="005B1D06"/>
    <w:rsid w:val="005C47B9"/>
    <w:rsid w:val="005E028C"/>
    <w:rsid w:val="005E0A98"/>
    <w:rsid w:val="005E35D8"/>
    <w:rsid w:val="005F2436"/>
    <w:rsid w:val="00601DBC"/>
    <w:rsid w:val="00616474"/>
    <w:rsid w:val="0063416F"/>
    <w:rsid w:val="00637248"/>
    <w:rsid w:val="00640A20"/>
    <w:rsid w:val="00644D87"/>
    <w:rsid w:val="00647636"/>
    <w:rsid w:val="00655FAA"/>
    <w:rsid w:val="006570B5"/>
    <w:rsid w:val="00661E42"/>
    <w:rsid w:val="00662AF3"/>
    <w:rsid w:val="0066642B"/>
    <w:rsid w:val="006701AA"/>
    <w:rsid w:val="0067143A"/>
    <w:rsid w:val="00671F12"/>
    <w:rsid w:val="00675542"/>
    <w:rsid w:val="0068090E"/>
    <w:rsid w:val="0068798F"/>
    <w:rsid w:val="00687DA7"/>
    <w:rsid w:val="0069115C"/>
    <w:rsid w:val="00697511"/>
    <w:rsid w:val="006975B5"/>
    <w:rsid w:val="006A2372"/>
    <w:rsid w:val="006A5567"/>
    <w:rsid w:val="006D6EF8"/>
    <w:rsid w:val="006E7313"/>
    <w:rsid w:val="006E758B"/>
    <w:rsid w:val="006F6D0F"/>
    <w:rsid w:val="00705558"/>
    <w:rsid w:val="007133DF"/>
    <w:rsid w:val="007228DA"/>
    <w:rsid w:val="007231F4"/>
    <w:rsid w:val="00731F45"/>
    <w:rsid w:val="00734097"/>
    <w:rsid w:val="007342B9"/>
    <w:rsid w:val="00734E4E"/>
    <w:rsid w:val="007443E2"/>
    <w:rsid w:val="00744737"/>
    <w:rsid w:val="00746221"/>
    <w:rsid w:val="00747EDD"/>
    <w:rsid w:val="00752819"/>
    <w:rsid w:val="00754E49"/>
    <w:rsid w:val="00763812"/>
    <w:rsid w:val="00764C3A"/>
    <w:rsid w:val="00767E8B"/>
    <w:rsid w:val="00776347"/>
    <w:rsid w:val="0078483E"/>
    <w:rsid w:val="007850D7"/>
    <w:rsid w:val="007916CC"/>
    <w:rsid w:val="007A79FF"/>
    <w:rsid w:val="007B6F5E"/>
    <w:rsid w:val="007B7DD4"/>
    <w:rsid w:val="007C6BAB"/>
    <w:rsid w:val="007D06EB"/>
    <w:rsid w:val="007D1AF8"/>
    <w:rsid w:val="007D4031"/>
    <w:rsid w:val="007D50FC"/>
    <w:rsid w:val="007D690F"/>
    <w:rsid w:val="007E2F5F"/>
    <w:rsid w:val="007E7DB1"/>
    <w:rsid w:val="007F1745"/>
    <w:rsid w:val="007F3EDE"/>
    <w:rsid w:val="00800529"/>
    <w:rsid w:val="00803745"/>
    <w:rsid w:val="00817EF7"/>
    <w:rsid w:val="00823141"/>
    <w:rsid w:val="008259C9"/>
    <w:rsid w:val="00831516"/>
    <w:rsid w:val="00851B11"/>
    <w:rsid w:val="00854391"/>
    <w:rsid w:val="00861D73"/>
    <w:rsid w:val="00867375"/>
    <w:rsid w:val="0087284F"/>
    <w:rsid w:val="008936C9"/>
    <w:rsid w:val="00894F22"/>
    <w:rsid w:val="00895B9A"/>
    <w:rsid w:val="0089605B"/>
    <w:rsid w:val="008968A5"/>
    <w:rsid w:val="008972D0"/>
    <w:rsid w:val="008B34FD"/>
    <w:rsid w:val="008B5A0E"/>
    <w:rsid w:val="008B7023"/>
    <w:rsid w:val="008C2944"/>
    <w:rsid w:val="008C7A23"/>
    <w:rsid w:val="008D1102"/>
    <w:rsid w:val="008D5F27"/>
    <w:rsid w:val="008D6E1C"/>
    <w:rsid w:val="008E552A"/>
    <w:rsid w:val="0091441E"/>
    <w:rsid w:val="0092480D"/>
    <w:rsid w:val="0092588E"/>
    <w:rsid w:val="0092650F"/>
    <w:rsid w:val="009279AA"/>
    <w:rsid w:val="00931D35"/>
    <w:rsid w:val="00937357"/>
    <w:rsid w:val="00940252"/>
    <w:rsid w:val="0094128F"/>
    <w:rsid w:val="00943AA5"/>
    <w:rsid w:val="00946431"/>
    <w:rsid w:val="00953E38"/>
    <w:rsid w:val="00971622"/>
    <w:rsid w:val="00997D81"/>
    <w:rsid w:val="009D0452"/>
    <w:rsid w:val="009D28A5"/>
    <w:rsid w:val="009D38C5"/>
    <w:rsid w:val="009E13F3"/>
    <w:rsid w:val="009F7C9D"/>
    <w:rsid w:val="00A00F88"/>
    <w:rsid w:val="00A01738"/>
    <w:rsid w:val="00A01D19"/>
    <w:rsid w:val="00A026D5"/>
    <w:rsid w:val="00A037DE"/>
    <w:rsid w:val="00A04624"/>
    <w:rsid w:val="00A05A28"/>
    <w:rsid w:val="00A05C63"/>
    <w:rsid w:val="00A07C97"/>
    <w:rsid w:val="00A10DDA"/>
    <w:rsid w:val="00A13727"/>
    <w:rsid w:val="00A27ED3"/>
    <w:rsid w:val="00A30016"/>
    <w:rsid w:val="00A33A40"/>
    <w:rsid w:val="00A351A0"/>
    <w:rsid w:val="00A40E6B"/>
    <w:rsid w:val="00A559E6"/>
    <w:rsid w:val="00A57DF4"/>
    <w:rsid w:val="00A61538"/>
    <w:rsid w:val="00A628B1"/>
    <w:rsid w:val="00A62F65"/>
    <w:rsid w:val="00A65CAE"/>
    <w:rsid w:val="00A71419"/>
    <w:rsid w:val="00A72760"/>
    <w:rsid w:val="00A908A6"/>
    <w:rsid w:val="00A90BF1"/>
    <w:rsid w:val="00A97E75"/>
    <w:rsid w:val="00AA08F4"/>
    <w:rsid w:val="00AA0D2D"/>
    <w:rsid w:val="00AA159F"/>
    <w:rsid w:val="00AA336C"/>
    <w:rsid w:val="00AA4CF1"/>
    <w:rsid w:val="00AA55CE"/>
    <w:rsid w:val="00AB031B"/>
    <w:rsid w:val="00AB0C0F"/>
    <w:rsid w:val="00AB2DB6"/>
    <w:rsid w:val="00AB3940"/>
    <w:rsid w:val="00AB7CA6"/>
    <w:rsid w:val="00AC1F85"/>
    <w:rsid w:val="00AC4DA1"/>
    <w:rsid w:val="00AC63CC"/>
    <w:rsid w:val="00AC6590"/>
    <w:rsid w:val="00B05814"/>
    <w:rsid w:val="00B120D1"/>
    <w:rsid w:val="00B1693C"/>
    <w:rsid w:val="00B20675"/>
    <w:rsid w:val="00B21C76"/>
    <w:rsid w:val="00B2471A"/>
    <w:rsid w:val="00B37F67"/>
    <w:rsid w:val="00B400D0"/>
    <w:rsid w:val="00B468E6"/>
    <w:rsid w:val="00B54EBD"/>
    <w:rsid w:val="00B61C07"/>
    <w:rsid w:val="00B62352"/>
    <w:rsid w:val="00B65336"/>
    <w:rsid w:val="00B7238F"/>
    <w:rsid w:val="00B822EE"/>
    <w:rsid w:val="00B8688C"/>
    <w:rsid w:val="00B9143C"/>
    <w:rsid w:val="00B968EA"/>
    <w:rsid w:val="00B97033"/>
    <w:rsid w:val="00B97389"/>
    <w:rsid w:val="00B978D8"/>
    <w:rsid w:val="00BB6573"/>
    <w:rsid w:val="00BC1051"/>
    <w:rsid w:val="00BC6097"/>
    <w:rsid w:val="00BD5A45"/>
    <w:rsid w:val="00BD7D12"/>
    <w:rsid w:val="00BE04D8"/>
    <w:rsid w:val="00BE1046"/>
    <w:rsid w:val="00BF089E"/>
    <w:rsid w:val="00C00413"/>
    <w:rsid w:val="00C037B6"/>
    <w:rsid w:val="00C06D36"/>
    <w:rsid w:val="00C1085B"/>
    <w:rsid w:val="00C111EF"/>
    <w:rsid w:val="00C12BB5"/>
    <w:rsid w:val="00C32404"/>
    <w:rsid w:val="00C360CA"/>
    <w:rsid w:val="00C40B90"/>
    <w:rsid w:val="00C451E6"/>
    <w:rsid w:val="00C45862"/>
    <w:rsid w:val="00C5022C"/>
    <w:rsid w:val="00C514E8"/>
    <w:rsid w:val="00C54F00"/>
    <w:rsid w:val="00C63E47"/>
    <w:rsid w:val="00C70EFA"/>
    <w:rsid w:val="00C7405A"/>
    <w:rsid w:val="00C765F5"/>
    <w:rsid w:val="00C817E4"/>
    <w:rsid w:val="00C832B1"/>
    <w:rsid w:val="00C83565"/>
    <w:rsid w:val="00C859E4"/>
    <w:rsid w:val="00C8667E"/>
    <w:rsid w:val="00C965B7"/>
    <w:rsid w:val="00CA5908"/>
    <w:rsid w:val="00CB3792"/>
    <w:rsid w:val="00CB5989"/>
    <w:rsid w:val="00CC20F5"/>
    <w:rsid w:val="00CC3B1C"/>
    <w:rsid w:val="00CC79DD"/>
    <w:rsid w:val="00CD2CB1"/>
    <w:rsid w:val="00CE0435"/>
    <w:rsid w:val="00CE1ED8"/>
    <w:rsid w:val="00CE4A24"/>
    <w:rsid w:val="00CF4907"/>
    <w:rsid w:val="00CF77FC"/>
    <w:rsid w:val="00D108B5"/>
    <w:rsid w:val="00D36938"/>
    <w:rsid w:val="00D41254"/>
    <w:rsid w:val="00D53124"/>
    <w:rsid w:val="00D543A7"/>
    <w:rsid w:val="00D64993"/>
    <w:rsid w:val="00D6758F"/>
    <w:rsid w:val="00D723B5"/>
    <w:rsid w:val="00D73589"/>
    <w:rsid w:val="00D75D4F"/>
    <w:rsid w:val="00D928BE"/>
    <w:rsid w:val="00D94D3C"/>
    <w:rsid w:val="00DB0AEE"/>
    <w:rsid w:val="00DB5E15"/>
    <w:rsid w:val="00DC1665"/>
    <w:rsid w:val="00DC4F3C"/>
    <w:rsid w:val="00DC5B1E"/>
    <w:rsid w:val="00DC6364"/>
    <w:rsid w:val="00DC6D2B"/>
    <w:rsid w:val="00DD3B3D"/>
    <w:rsid w:val="00DD4A51"/>
    <w:rsid w:val="00DD78DF"/>
    <w:rsid w:val="00DE1509"/>
    <w:rsid w:val="00DE19D2"/>
    <w:rsid w:val="00DE1EE6"/>
    <w:rsid w:val="00DE1F23"/>
    <w:rsid w:val="00DE4857"/>
    <w:rsid w:val="00DF2F76"/>
    <w:rsid w:val="00DF30BA"/>
    <w:rsid w:val="00DF62EC"/>
    <w:rsid w:val="00E027CD"/>
    <w:rsid w:val="00E22BF2"/>
    <w:rsid w:val="00E238B9"/>
    <w:rsid w:val="00E30CD1"/>
    <w:rsid w:val="00E32086"/>
    <w:rsid w:val="00E343F9"/>
    <w:rsid w:val="00E43361"/>
    <w:rsid w:val="00E45BA2"/>
    <w:rsid w:val="00E527BF"/>
    <w:rsid w:val="00E56D7E"/>
    <w:rsid w:val="00E64497"/>
    <w:rsid w:val="00E660D6"/>
    <w:rsid w:val="00E71958"/>
    <w:rsid w:val="00E72B8A"/>
    <w:rsid w:val="00E81C82"/>
    <w:rsid w:val="00E85681"/>
    <w:rsid w:val="00E95EEB"/>
    <w:rsid w:val="00E96C1E"/>
    <w:rsid w:val="00EA0761"/>
    <w:rsid w:val="00EA1D26"/>
    <w:rsid w:val="00EA6728"/>
    <w:rsid w:val="00EA6E72"/>
    <w:rsid w:val="00EB096A"/>
    <w:rsid w:val="00EB58AB"/>
    <w:rsid w:val="00EB5AFF"/>
    <w:rsid w:val="00EC4841"/>
    <w:rsid w:val="00ED149D"/>
    <w:rsid w:val="00ED1C85"/>
    <w:rsid w:val="00ED3633"/>
    <w:rsid w:val="00EE06E0"/>
    <w:rsid w:val="00EE476F"/>
    <w:rsid w:val="00EF5680"/>
    <w:rsid w:val="00EF56DF"/>
    <w:rsid w:val="00EF77FB"/>
    <w:rsid w:val="00EF7872"/>
    <w:rsid w:val="00F06AB8"/>
    <w:rsid w:val="00F11249"/>
    <w:rsid w:val="00F14324"/>
    <w:rsid w:val="00F158B4"/>
    <w:rsid w:val="00F20AEF"/>
    <w:rsid w:val="00F22910"/>
    <w:rsid w:val="00F22DE3"/>
    <w:rsid w:val="00F23E6E"/>
    <w:rsid w:val="00F2414F"/>
    <w:rsid w:val="00F26E30"/>
    <w:rsid w:val="00F34986"/>
    <w:rsid w:val="00F34D55"/>
    <w:rsid w:val="00F4010F"/>
    <w:rsid w:val="00F4107A"/>
    <w:rsid w:val="00F439C9"/>
    <w:rsid w:val="00F43B48"/>
    <w:rsid w:val="00F53DF9"/>
    <w:rsid w:val="00F54CD7"/>
    <w:rsid w:val="00F55FD2"/>
    <w:rsid w:val="00F72A08"/>
    <w:rsid w:val="00F81EDC"/>
    <w:rsid w:val="00F87D0E"/>
    <w:rsid w:val="00F915B9"/>
    <w:rsid w:val="00FB0DA9"/>
    <w:rsid w:val="00FC1B0E"/>
    <w:rsid w:val="00FC328A"/>
    <w:rsid w:val="00FE3AB3"/>
    <w:rsid w:val="00FE5892"/>
    <w:rsid w:val="00FE7B6F"/>
    <w:rsid w:val="01396E9D"/>
    <w:rsid w:val="03E75C4E"/>
    <w:rsid w:val="07C94A10"/>
    <w:rsid w:val="08755F21"/>
    <w:rsid w:val="0FD52B6A"/>
    <w:rsid w:val="16007AB2"/>
    <w:rsid w:val="16041D0B"/>
    <w:rsid w:val="1727254F"/>
    <w:rsid w:val="17894101"/>
    <w:rsid w:val="17AC7183"/>
    <w:rsid w:val="182A1ABC"/>
    <w:rsid w:val="18356E05"/>
    <w:rsid w:val="185A3F9C"/>
    <w:rsid w:val="1D8D3108"/>
    <w:rsid w:val="1DDC1359"/>
    <w:rsid w:val="1FAB7320"/>
    <w:rsid w:val="1FAC2F26"/>
    <w:rsid w:val="21696A2E"/>
    <w:rsid w:val="25242511"/>
    <w:rsid w:val="260A7FB0"/>
    <w:rsid w:val="285662FB"/>
    <w:rsid w:val="2A374BDA"/>
    <w:rsid w:val="2BF16D09"/>
    <w:rsid w:val="2CED1937"/>
    <w:rsid w:val="30A57132"/>
    <w:rsid w:val="332C48E3"/>
    <w:rsid w:val="3454676D"/>
    <w:rsid w:val="35F70D0A"/>
    <w:rsid w:val="36435465"/>
    <w:rsid w:val="3702026C"/>
    <w:rsid w:val="38886073"/>
    <w:rsid w:val="3C05093C"/>
    <w:rsid w:val="3F3F32C1"/>
    <w:rsid w:val="3FFE470A"/>
    <w:rsid w:val="40197246"/>
    <w:rsid w:val="4087272D"/>
    <w:rsid w:val="419C367E"/>
    <w:rsid w:val="42DA477B"/>
    <w:rsid w:val="4C845F71"/>
    <w:rsid w:val="4F8D0C0E"/>
    <w:rsid w:val="4FF84D7B"/>
    <w:rsid w:val="53DD306E"/>
    <w:rsid w:val="56D7193A"/>
    <w:rsid w:val="5ABE159A"/>
    <w:rsid w:val="5ACB7C5C"/>
    <w:rsid w:val="5C5031F3"/>
    <w:rsid w:val="5D367198"/>
    <w:rsid w:val="5E041626"/>
    <w:rsid w:val="5E2C5E52"/>
    <w:rsid w:val="5EF329E0"/>
    <w:rsid w:val="646933B2"/>
    <w:rsid w:val="679827BC"/>
    <w:rsid w:val="6ABC13D1"/>
    <w:rsid w:val="6B2745B4"/>
    <w:rsid w:val="6C9D8284"/>
    <w:rsid w:val="701946D0"/>
    <w:rsid w:val="703F49C7"/>
    <w:rsid w:val="731D4508"/>
    <w:rsid w:val="736604B3"/>
    <w:rsid w:val="746A4796"/>
    <w:rsid w:val="74725CF7"/>
    <w:rsid w:val="75F12281"/>
    <w:rsid w:val="76C44D9A"/>
    <w:rsid w:val="77294931"/>
    <w:rsid w:val="77C627BF"/>
    <w:rsid w:val="78600B8A"/>
    <w:rsid w:val="78835FB4"/>
    <w:rsid w:val="78BFF988"/>
    <w:rsid w:val="79383D97"/>
    <w:rsid w:val="7C246D74"/>
    <w:rsid w:val="7D6C0AF0"/>
    <w:rsid w:val="FEF41DA1"/>
    <w:rsid w:val="FEFF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8"/>
    <w:semiHidden/>
    <w:unhideWhenUsed/>
    <w:qFormat/>
    <w:uiPriority w:val="99"/>
    <w:pPr>
      <w:spacing w:after="120"/>
      <w:ind w:left="420" w:leftChars="2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等线" w:hAnsi="等线" w:eastAsia="等线"/>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paragraph" w:styleId="8">
    <w:name w:val="Body Text First Indent 2"/>
    <w:basedOn w:val="3"/>
    <w:link w:val="19"/>
    <w:qFormat/>
    <w:uiPriority w:val="99"/>
    <w:pPr>
      <w:spacing w:after="0"/>
      <w:ind w:left="0" w:leftChars="0" w:firstLine="880" w:firstLineChars="192"/>
    </w:pPr>
    <w:rPr>
      <w:szCs w:val="24"/>
    </w:rPr>
  </w:style>
  <w:style w:type="character" w:styleId="11">
    <w:name w:val="Hyperlink"/>
    <w:qFormat/>
    <w:uiPriority w:val="0"/>
    <w:rPr>
      <w:color w:val="3366FF"/>
      <w:u w:val="none"/>
    </w:rPr>
  </w:style>
  <w:style w:type="character" w:styleId="12">
    <w:name w:val="annotation reference"/>
    <w:semiHidden/>
    <w:unhideWhenUsed/>
    <w:qFormat/>
    <w:uiPriority w:val="99"/>
    <w:rPr>
      <w:sz w:val="21"/>
      <w:szCs w:val="21"/>
    </w:rPr>
  </w:style>
  <w:style w:type="character" w:customStyle="1" w:styleId="13">
    <w:name w:val="页脚 Char"/>
    <w:link w:val="5"/>
    <w:qFormat/>
    <w:uiPriority w:val="99"/>
    <w:rPr>
      <w:rFonts w:ascii="等线" w:hAnsi="等线" w:eastAsia="等线"/>
      <w:kern w:val="2"/>
      <w:sz w:val="18"/>
      <w:szCs w:val="18"/>
    </w:rPr>
  </w:style>
  <w:style w:type="character" w:customStyle="1" w:styleId="14">
    <w:name w:val="批注框文本 Char"/>
    <w:link w:val="4"/>
    <w:semiHidden/>
    <w:qFormat/>
    <w:uiPriority w:val="99"/>
    <w:rPr>
      <w:kern w:val="2"/>
      <w:sz w:val="18"/>
      <w:szCs w:val="18"/>
    </w:rPr>
  </w:style>
  <w:style w:type="character" w:customStyle="1" w:styleId="15">
    <w:name w:val="页眉 Char"/>
    <w:link w:val="6"/>
    <w:qFormat/>
    <w:uiPriority w:val="99"/>
    <w:rPr>
      <w:kern w:val="2"/>
      <w:sz w:val="18"/>
      <w:szCs w:val="18"/>
    </w:rPr>
  </w:style>
  <w:style w:type="character" w:customStyle="1" w:styleId="16">
    <w:name w:val="批注文字 Char"/>
    <w:link w:val="2"/>
    <w:semiHidden/>
    <w:qFormat/>
    <w:uiPriority w:val="99"/>
    <w:rPr>
      <w:kern w:val="2"/>
      <w:sz w:val="21"/>
      <w:szCs w:val="22"/>
    </w:rPr>
  </w:style>
  <w:style w:type="character" w:customStyle="1" w:styleId="17">
    <w:name w:val="批注主题 Char"/>
    <w:link w:val="7"/>
    <w:semiHidden/>
    <w:qFormat/>
    <w:uiPriority w:val="99"/>
    <w:rPr>
      <w:b/>
      <w:bCs/>
      <w:kern w:val="2"/>
      <w:sz w:val="21"/>
      <w:szCs w:val="22"/>
    </w:rPr>
  </w:style>
  <w:style w:type="character" w:customStyle="1" w:styleId="18">
    <w:name w:val="正文文本缩进 Char"/>
    <w:link w:val="3"/>
    <w:semiHidden/>
    <w:qFormat/>
    <w:uiPriority w:val="99"/>
    <w:rPr>
      <w:kern w:val="2"/>
      <w:sz w:val="21"/>
      <w:szCs w:val="22"/>
    </w:rPr>
  </w:style>
  <w:style w:type="character" w:customStyle="1" w:styleId="19">
    <w:name w:val="正文首行缩进 2 Char"/>
    <w:link w:val="8"/>
    <w:qFormat/>
    <w:uiPriority w:val="99"/>
    <w:rPr>
      <w:kern w:val="2"/>
      <w:sz w:val="21"/>
      <w:szCs w:val="24"/>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482</Words>
  <Characters>2749</Characters>
  <Lines>22</Lines>
  <Paragraphs>6</Paragraphs>
  <TotalTime>1077</TotalTime>
  <ScaleCrop>false</ScaleCrop>
  <LinksUpToDate>false</LinksUpToDate>
  <CharactersWithSpaces>3225</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2024-10-15T14:32:00Z</dcterms:created>
  <dc:creator>cuilf</dc:creator>
  <cp:lastModifiedBy>admin</cp:lastModifiedBy>
  <cp:lastPrinted>2024-10-21T15:39:00Z</cp:lastPrinted>
  <dcterms:modified xsi:type="dcterms:W3CDTF">2024-11-07T10:08:17Z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34E11BE88D5F45568EDBB4F2C6291D48</vt:lpwstr>
  </property>
</Properties>
</file>