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宋体" w:hAnsi="宋体" w:eastAsia="宋体" w:cs="Times New Roman"/>
          <w:bCs/>
          <w:sz w:val="44"/>
          <w:szCs w:val="44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44"/>
          <w:szCs w:val="44"/>
        </w:rPr>
        <w:t>查询车辆登记情况通知书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</w:t>
      </w: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人社监查〔   〕  号</w:t>
      </w:r>
    </w:p>
    <w:p>
      <w:pPr>
        <w:ind w:firstLine="420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根据《保障农民工工资支付条例》第40条规定，在查处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拖欠农民工工资案件过程中，需向你单位查询下列当事人车辆登记情况。请予配合，并提供有关资料。</w:t>
      </w:r>
    </w:p>
    <w:p>
      <w:pPr>
        <w:numPr>
          <w:ilvl w:val="0"/>
          <w:numId w:val="1"/>
        </w:numPr>
        <w:ind w:firstLine="147"/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被查询当事人名称/姓名：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         </w:t>
      </w:r>
    </w:p>
    <w:p>
      <w:pPr>
        <w:ind w:left="567"/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numPr>
          <w:ilvl w:val="0"/>
          <w:numId w:val="1"/>
        </w:numPr>
        <w:ind w:firstLine="147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统一社会信用代码/身份证件号码：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ind w:left="567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numPr>
          <w:ilvl w:val="0"/>
          <w:numId w:val="1"/>
        </w:numPr>
        <w:ind w:firstLine="147"/>
        <w:rPr>
          <w:rFonts w:hint="eastAsia" w:ascii="仿宋_GB2312" w:hAnsi="Calibri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配合查询当事人未报废注销车辆信息内容（打“√”项）：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号牌号码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号牌种类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车辆品牌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车辆类型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</w:p>
    <w:p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监察员：1.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联系方式：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</w:t>
      </w:r>
    </w:p>
    <w:p>
      <w:pPr>
        <w:ind w:left="420" w:leftChars="200"/>
        <w:rPr>
          <w:rFonts w:hint="eastAsia" w:ascii="Calibri" w:hAnsi="Calibri" w:eastAsia="宋体" w:cs="Times New Roman"/>
          <w:szCs w:val="24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  <w:highlight w:val="yellow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（人力资源社会保障行政部门盖章）</w:t>
      </w:r>
    </w:p>
    <w:p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6FEA"/>
    <w:multiLevelType w:val="multilevel"/>
    <w:tmpl w:val="5EC16FEA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7649"/>
    <w:rsid w:val="2D722ADE"/>
    <w:rsid w:val="53D67649"/>
    <w:rsid w:val="697F1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2020-06-11T06:18:00Z</dcterms:created>
  <dc:creator>lenovo</dc:creator>
  <cp:lastModifiedBy>lenovo</cp:lastModifiedBy>
  <dcterms:modified xsi:type="dcterms:W3CDTF">2020-06-11T06:39:48Z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